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59A99" w14:textId="77777777" w:rsidR="00194887" w:rsidRDefault="00194887">
      <w:pPr>
        <w:rPr>
          <w:rFonts w:ascii="Times New Roman" w:eastAsia="Times New Roman" w:hAnsi="Times New Roman" w:cs="Times New Roman"/>
          <w:sz w:val="20"/>
          <w:szCs w:val="20"/>
        </w:rPr>
      </w:pPr>
    </w:p>
    <w:tbl>
      <w:tblPr>
        <w:tblStyle w:val="a2"/>
        <w:tblW w:w="9930" w:type="dxa"/>
        <w:tblInd w:w="-108"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Layout w:type="fixed"/>
        <w:tblLook w:val="0000" w:firstRow="0" w:lastRow="0" w:firstColumn="0" w:lastColumn="0" w:noHBand="0" w:noVBand="0"/>
      </w:tblPr>
      <w:tblGrid>
        <w:gridCol w:w="9930"/>
      </w:tblGrid>
      <w:tr w:rsidR="00194887" w14:paraId="2E6F9967" w14:textId="77777777">
        <w:tc>
          <w:tcPr>
            <w:tcW w:w="9930" w:type="dxa"/>
            <w:tcBorders>
              <w:top w:val="single" w:sz="8" w:space="0" w:color="000001"/>
              <w:left w:val="single" w:sz="8" w:space="0" w:color="000001"/>
              <w:bottom w:val="single" w:sz="8" w:space="0" w:color="000001"/>
              <w:right w:val="single" w:sz="8" w:space="0" w:color="000001"/>
            </w:tcBorders>
            <w:shd w:val="clear" w:color="auto" w:fill="FFFFFF"/>
          </w:tcPr>
          <w:p w14:paraId="42C89B60" w14:textId="77777777" w:rsidR="00194887" w:rsidRDefault="00194887">
            <w:pPr>
              <w:ind w:right="-202"/>
              <w:rPr>
                <w:rFonts w:ascii="Times New Roman" w:eastAsia="Times New Roman" w:hAnsi="Times New Roman" w:cs="Times New Roman"/>
                <w:sz w:val="20"/>
                <w:szCs w:val="20"/>
              </w:rPr>
            </w:pPr>
          </w:p>
          <w:p w14:paraId="24FD89C5" w14:textId="77777777" w:rsidR="00194887" w:rsidRDefault="00C151E4">
            <w:pPr>
              <w:widowControl w:val="0"/>
              <w:pBdr>
                <w:top w:val="single" w:sz="12" w:space="1" w:color="00000A"/>
                <w:left w:val="single" w:sz="12" w:space="4" w:color="00000A"/>
                <w:bottom w:val="single" w:sz="12" w:space="1" w:color="00000A"/>
                <w:right w:val="single" w:sz="12" w:space="4" w:color="00000A"/>
              </w:pBdr>
              <w:ind w:right="-202"/>
              <w:jc w:val="center"/>
              <w:rPr>
                <w:b/>
                <w:color w:val="000000"/>
                <w:sz w:val="32"/>
                <w:szCs w:val="32"/>
              </w:rPr>
            </w:pPr>
            <w:r>
              <w:rPr>
                <w:b/>
                <w:color w:val="000000"/>
                <w:sz w:val="32"/>
                <w:szCs w:val="32"/>
              </w:rPr>
              <w:t>RÈGLEMENT DE CONSULTATION</w:t>
            </w:r>
          </w:p>
          <w:p w14:paraId="2D9B0084" w14:textId="77777777" w:rsidR="00D7297A" w:rsidRPr="008F5CCA" w:rsidRDefault="008F5CCA" w:rsidP="008F5CCA">
            <w:pPr>
              <w:pStyle w:val="NormalWeb"/>
              <w:jc w:val="center"/>
              <w:rPr>
                <w:b/>
                <w:bCs/>
              </w:rPr>
            </w:pPr>
            <w:r w:rsidRPr="008F5CCA">
              <w:rPr>
                <w:rFonts w:ascii="Helvetica" w:hAnsi="Helvetica"/>
                <w:b/>
                <w:bCs/>
              </w:rPr>
              <w:t xml:space="preserve">Transport Hauts-de-France (France) à Villa </w:t>
            </w:r>
            <w:proofErr w:type="spellStart"/>
            <w:r w:rsidRPr="008F5CCA">
              <w:rPr>
                <w:rFonts w:ascii="Helvetica" w:hAnsi="Helvetica"/>
                <w:b/>
                <w:bCs/>
              </w:rPr>
              <w:t>Médicis</w:t>
            </w:r>
            <w:proofErr w:type="spellEnd"/>
            <w:r w:rsidRPr="008F5CCA">
              <w:rPr>
                <w:rFonts w:ascii="Helvetica" w:hAnsi="Helvetica"/>
                <w:b/>
                <w:bCs/>
              </w:rPr>
              <w:t xml:space="preserve"> Rome (Italie) et </w:t>
            </w:r>
            <w:r w:rsidR="007216C9" w:rsidRPr="008F5CCA">
              <w:rPr>
                <w:rFonts w:ascii="Helvetica" w:hAnsi="Helvetica"/>
                <w:b/>
                <w:bCs/>
              </w:rPr>
              <w:t>hébergement</w:t>
            </w:r>
          </w:p>
        </w:tc>
      </w:tr>
    </w:tbl>
    <w:p w14:paraId="0A5CC8E8" w14:textId="77777777" w:rsidR="00194887" w:rsidRDefault="00194887">
      <w:pPr>
        <w:rPr>
          <w:rFonts w:ascii="Times New Roman" w:eastAsia="Times New Roman" w:hAnsi="Times New Roman" w:cs="Times New Roman"/>
          <w:color w:val="000000"/>
          <w:sz w:val="20"/>
          <w:szCs w:val="20"/>
        </w:rPr>
      </w:pPr>
    </w:p>
    <w:p w14:paraId="24942082" w14:textId="77777777" w:rsidR="00194887" w:rsidRDefault="00194887">
      <w:pPr>
        <w:rPr>
          <w:b/>
          <w:color w:val="000000"/>
          <w:sz w:val="20"/>
          <w:szCs w:val="20"/>
        </w:rPr>
      </w:pPr>
    </w:p>
    <w:p w14:paraId="61AFE5DA" w14:textId="77777777" w:rsidR="00194887" w:rsidRDefault="00194887">
      <w:pPr>
        <w:spacing w:before="9"/>
        <w:rPr>
          <w:b/>
          <w:color w:val="000000"/>
        </w:rPr>
      </w:pPr>
    </w:p>
    <w:p w14:paraId="3411D91A" w14:textId="77777777" w:rsidR="00194887" w:rsidRDefault="00C151E4">
      <w:pPr>
        <w:spacing w:before="51"/>
        <w:ind w:left="1637" w:right="1655"/>
        <w:jc w:val="center"/>
      </w:pPr>
      <w:r>
        <w:t>MARCHE A PROCEDURE ADAPTEE</w:t>
      </w:r>
    </w:p>
    <w:p w14:paraId="2BC28C6B" w14:textId="77777777" w:rsidR="00194887" w:rsidRDefault="00C151E4">
      <w:pPr>
        <w:spacing w:before="51"/>
        <w:ind w:right="3"/>
        <w:jc w:val="center"/>
        <w:rPr>
          <w:sz w:val="22"/>
          <w:szCs w:val="22"/>
        </w:rPr>
      </w:pPr>
      <w:r>
        <w:rPr>
          <w:sz w:val="22"/>
          <w:szCs w:val="22"/>
        </w:rPr>
        <w:t>En application de l’arrêté du 19 juillet 2018 portant réglementation sur les marchés publics des organismes de sécurité sociale, du Code de la commande publique et en particulier de l’article L. 2124-2</w:t>
      </w:r>
    </w:p>
    <w:p w14:paraId="6191B3C5" w14:textId="77777777" w:rsidR="00194887" w:rsidRPr="00CB0C51" w:rsidRDefault="00194887">
      <w:pPr>
        <w:rPr>
          <w:sz w:val="20"/>
          <w:szCs w:val="20"/>
        </w:rPr>
      </w:pPr>
    </w:p>
    <w:p w14:paraId="2DAA70AC" w14:textId="772732C1" w:rsidR="00194887" w:rsidRPr="00CB0C51" w:rsidRDefault="00C151E4">
      <w:pPr>
        <w:jc w:val="center"/>
        <w:rPr>
          <w:b/>
          <w:sz w:val="20"/>
          <w:szCs w:val="20"/>
        </w:rPr>
      </w:pPr>
      <w:r w:rsidRPr="00CB0C51">
        <w:rPr>
          <w:b/>
        </w:rPr>
        <w:t>Marché n° 202</w:t>
      </w:r>
      <w:r w:rsidR="00B46B6D" w:rsidRPr="00CB0C51">
        <w:rPr>
          <w:b/>
        </w:rPr>
        <w:t>5</w:t>
      </w:r>
      <w:r w:rsidR="008F5CCA" w:rsidRPr="00CB0C51">
        <w:rPr>
          <w:b/>
        </w:rPr>
        <w:t>05001</w:t>
      </w:r>
    </w:p>
    <w:p w14:paraId="7EB143BB" w14:textId="77777777" w:rsidR="00194887" w:rsidRPr="00CB0C51" w:rsidRDefault="00194887">
      <w:pPr>
        <w:rPr>
          <w:sz w:val="20"/>
          <w:szCs w:val="20"/>
        </w:rPr>
      </w:pPr>
    </w:p>
    <w:p w14:paraId="7180678C" w14:textId="77777777" w:rsidR="00194887" w:rsidRPr="00CB0C51" w:rsidRDefault="00194887">
      <w:pPr>
        <w:rPr>
          <w:sz w:val="20"/>
          <w:szCs w:val="20"/>
        </w:rPr>
      </w:pPr>
    </w:p>
    <w:p w14:paraId="66116769" w14:textId="1DFC3299" w:rsidR="00194887" w:rsidRPr="00CB0C51" w:rsidRDefault="00C151E4">
      <w:pPr>
        <w:spacing w:before="145"/>
        <w:ind w:left="1639" w:right="1655"/>
        <w:jc w:val="center"/>
        <w:rPr>
          <w:b/>
          <w:sz w:val="40"/>
          <w:szCs w:val="40"/>
          <w:u w:val="single"/>
        </w:rPr>
      </w:pPr>
      <w:r w:rsidRPr="00CB0C51">
        <w:rPr>
          <w:b/>
          <w:sz w:val="40"/>
          <w:szCs w:val="40"/>
          <w:u w:val="single"/>
        </w:rPr>
        <w:t xml:space="preserve">Date limite de dépôt des candidatures : </w:t>
      </w:r>
      <w:r w:rsidR="00B46B6D" w:rsidRPr="00CB0C51">
        <w:rPr>
          <w:b/>
          <w:sz w:val="40"/>
          <w:szCs w:val="40"/>
          <w:u w:val="single"/>
        </w:rPr>
        <w:t>30</w:t>
      </w:r>
      <w:r w:rsidRPr="00CB0C51">
        <w:rPr>
          <w:b/>
          <w:sz w:val="40"/>
          <w:szCs w:val="40"/>
          <w:u w:val="single"/>
        </w:rPr>
        <w:t>/</w:t>
      </w:r>
      <w:r w:rsidR="00B46B6D" w:rsidRPr="00CB0C51">
        <w:rPr>
          <w:b/>
          <w:sz w:val="40"/>
          <w:szCs w:val="40"/>
          <w:u w:val="single"/>
        </w:rPr>
        <w:t>06</w:t>
      </w:r>
      <w:r w:rsidRPr="00CB0C51">
        <w:rPr>
          <w:b/>
          <w:sz w:val="40"/>
          <w:szCs w:val="40"/>
          <w:u w:val="single"/>
        </w:rPr>
        <w:t>/202</w:t>
      </w:r>
      <w:r w:rsidR="00B46B6D" w:rsidRPr="00CB0C51">
        <w:rPr>
          <w:b/>
          <w:sz w:val="40"/>
          <w:szCs w:val="40"/>
          <w:u w:val="single"/>
        </w:rPr>
        <w:t>5</w:t>
      </w:r>
      <w:r w:rsidRPr="00CB0C51">
        <w:rPr>
          <w:b/>
          <w:sz w:val="40"/>
          <w:szCs w:val="40"/>
          <w:u w:val="single"/>
        </w:rPr>
        <w:t xml:space="preserve"> à 12h00</w:t>
      </w:r>
    </w:p>
    <w:p w14:paraId="44B9033B" w14:textId="77777777" w:rsidR="00194887" w:rsidRDefault="00194887">
      <w:pPr>
        <w:spacing w:before="7"/>
        <w:rPr>
          <w:b/>
          <w:color w:val="000000"/>
          <w:sz w:val="17"/>
          <w:szCs w:val="17"/>
        </w:rPr>
      </w:pPr>
    </w:p>
    <w:p w14:paraId="08BDD158" w14:textId="77777777" w:rsidR="00194887" w:rsidRDefault="00194887">
      <w:pPr>
        <w:rPr>
          <w:color w:val="000000"/>
          <w:sz w:val="20"/>
          <w:szCs w:val="20"/>
        </w:rPr>
      </w:pPr>
    </w:p>
    <w:p w14:paraId="7514C773" w14:textId="77777777" w:rsidR="00194887" w:rsidRDefault="00194887">
      <w:pPr>
        <w:spacing w:before="1"/>
        <w:rPr>
          <w:color w:val="000000"/>
          <w:sz w:val="26"/>
          <w:szCs w:val="26"/>
        </w:rPr>
      </w:pPr>
    </w:p>
    <w:p w14:paraId="3934869B" w14:textId="77777777" w:rsidR="00194887" w:rsidRDefault="00194887">
      <w:pPr>
        <w:spacing w:before="1"/>
        <w:rPr>
          <w:color w:val="000000"/>
          <w:sz w:val="26"/>
          <w:szCs w:val="26"/>
        </w:rPr>
      </w:pPr>
    </w:p>
    <w:p w14:paraId="2F1CBD81" w14:textId="77777777" w:rsidR="00194887" w:rsidRDefault="00194887">
      <w:pPr>
        <w:spacing w:before="1"/>
        <w:rPr>
          <w:color w:val="000000"/>
          <w:sz w:val="26"/>
          <w:szCs w:val="26"/>
        </w:rPr>
      </w:pPr>
    </w:p>
    <w:p w14:paraId="7C9EC57E" w14:textId="77777777" w:rsidR="00194887" w:rsidRDefault="00194887">
      <w:pPr>
        <w:spacing w:before="1"/>
        <w:rPr>
          <w:color w:val="000000"/>
          <w:sz w:val="26"/>
          <w:szCs w:val="26"/>
        </w:rPr>
      </w:pPr>
    </w:p>
    <w:p w14:paraId="720B657C" w14:textId="77777777" w:rsidR="00194887" w:rsidRDefault="00194887">
      <w:pPr>
        <w:spacing w:before="1"/>
        <w:rPr>
          <w:color w:val="000000"/>
          <w:sz w:val="26"/>
          <w:szCs w:val="26"/>
        </w:rPr>
      </w:pPr>
    </w:p>
    <w:p w14:paraId="3A4149D9" w14:textId="77777777" w:rsidR="00194887" w:rsidRDefault="00194887">
      <w:pPr>
        <w:spacing w:before="1"/>
        <w:rPr>
          <w:color w:val="000000"/>
          <w:sz w:val="26"/>
          <w:szCs w:val="26"/>
        </w:rPr>
      </w:pPr>
    </w:p>
    <w:p w14:paraId="75BAD0C9" w14:textId="77777777" w:rsidR="00194887" w:rsidRDefault="00194887">
      <w:pPr>
        <w:spacing w:before="1"/>
        <w:rPr>
          <w:color w:val="000000"/>
          <w:sz w:val="26"/>
          <w:szCs w:val="26"/>
        </w:rPr>
      </w:pPr>
    </w:p>
    <w:p w14:paraId="1AE8AFC0" w14:textId="77777777" w:rsidR="00194887" w:rsidRDefault="00194887">
      <w:pPr>
        <w:spacing w:before="1"/>
        <w:rPr>
          <w:color w:val="000000"/>
          <w:sz w:val="26"/>
          <w:szCs w:val="26"/>
        </w:rPr>
      </w:pPr>
    </w:p>
    <w:p w14:paraId="6BAB0E79" w14:textId="77777777" w:rsidR="00194887" w:rsidRDefault="00194887">
      <w:pPr>
        <w:spacing w:before="1"/>
        <w:rPr>
          <w:color w:val="000000"/>
          <w:sz w:val="26"/>
          <w:szCs w:val="26"/>
        </w:rPr>
      </w:pPr>
    </w:p>
    <w:p w14:paraId="1C571ADD" w14:textId="77777777" w:rsidR="00194887" w:rsidRDefault="00194887">
      <w:pPr>
        <w:spacing w:before="1"/>
        <w:rPr>
          <w:color w:val="000000"/>
          <w:sz w:val="26"/>
          <w:szCs w:val="26"/>
        </w:rPr>
      </w:pPr>
    </w:p>
    <w:p w14:paraId="54AE6122" w14:textId="77777777" w:rsidR="00194887" w:rsidRDefault="00194887">
      <w:pPr>
        <w:spacing w:before="1"/>
        <w:rPr>
          <w:color w:val="000000"/>
          <w:sz w:val="26"/>
          <w:szCs w:val="26"/>
        </w:rPr>
      </w:pPr>
    </w:p>
    <w:p w14:paraId="40D12ED1" w14:textId="77777777" w:rsidR="00194887" w:rsidRDefault="00194887">
      <w:pPr>
        <w:spacing w:before="1"/>
        <w:rPr>
          <w:color w:val="000000"/>
          <w:sz w:val="26"/>
          <w:szCs w:val="26"/>
        </w:rPr>
      </w:pPr>
    </w:p>
    <w:p w14:paraId="33FDDD1F" w14:textId="77777777" w:rsidR="00194887" w:rsidRDefault="00194887">
      <w:pPr>
        <w:spacing w:before="1"/>
        <w:rPr>
          <w:color w:val="000000"/>
          <w:sz w:val="26"/>
          <w:szCs w:val="26"/>
        </w:rPr>
      </w:pPr>
    </w:p>
    <w:p w14:paraId="2D18B5E5" w14:textId="77777777" w:rsidR="00194887" w:rsidRDefault="00194887">
      <w:pPr>
        <w:spacing w:before="1"/>
        <w:rPr>
          <w:color w:val="000000"/>
          <w:sz w:val="26"/>
          <w:szCs w:val="26"/>
        </w:rPr>
      </w:pPr>
    </w:p>
    <w:p w14:paraId="2806DE8C" w14:textId="77777777" w:rsidR="00194887" w:rsidRDefault="00194887">
      <w:pPr>
        <w:spacing w:before="1"/>
        <w:rPr>
          <w:color w:val="000000"/>
          <w:sz w:val="26"/>
          <w:szCs w:val="26"/>
        </w:rPr>
      </w:pPr>
    </w:p>
    <w:p w14:paraId="2A9457DC" w14:textId="77777777" w:rsidR="00194887" w:rsidRDefault="00194887">
      <w:pPr>
        <w:spacing w:before="1"/>
        <w:rPr>
          <w:color w:val="000000"/>
          <w:sz w:val="26"/>
          <w:szCs w:val="26"/>
        </w:rPr>
      </w:pPr>
    </w:p>
    <w:p w14:paraId="17FB52D7" w14:textId="77777777" w:rsidR="00194887" w:rsidRDefault="00194887">
      <w:pPr>
        <w:spacing w:before="1"/>
        <w:rPr>
          <w:color w:val="000000"/>
          <w:sz w:val="26"/>
          <w:szCs w:val="26"/>
        </w:rPr>
      </w:pPr>
    </w:p>
    <w:p w14:paraId="1FA5B343" w14:textId="77777777" w:rsidR="00194887" w:rsidRDefault="00194887">
      <w:pPr>
        <w:spacing w:before="1"/>
        <w:rPr>
          <w:color w:val="000000"/>
          <w:sz w:val="26"/>
          <w:szCs w:val="26"/>
        </w:rPr>
      </w:pPr>
    </w:p>
    <w:p w14:paraId="32DACAD0" w14:textId="77777777" w:rsidR="00194887" w:rsidRDefault="00194887">
      <w:pPr>
        <w:spacing w:before="1"/>
        <w:rPr>
          <w:color w:val="000000"/>
          <w:sz w:val="26"/>
          <w:szCs w:val="26"/>
        </w:rPr>
      </w:pPr>
    </w:p>
    <w:p w14:paraId="0EA34D41" w14:textId="77777777" w:rsidR="00194887" w:rsidRDefault="00194887">
      <w:pPr>
        <w:spacing w:before="1"/>
        <w:rPr>
          <w:color w:val="000000"/>
          <w:sz w:val="26"/>
          <w:szCs w:val="26"/>
        </w:rPr>
      </w:pPr>
    </w:p>
    <w:p w14:paraId="29D7793A" w14:textId="77777777" w:rsidR="00194887" w:rsidRDefault="00194887">
      <w:pPr>
        <w:spacing w:before="1"/>
        <w:rPr>
          <w:color w:val="000000"/>
          <w:sz w:val="26"/>
          <w:szCs w:val="26"/>
        </w:rPr>
      </w:pPr>
    </w:p>
    <w:p w14:paraId="4A526BE7" w14:textId="77777777" w:rsidR="00194887" w:rsidRDefault="00194887">
      <w:pPr>
        <w:spacing w:before="1"/>
        <w:rPr>
          <w:color w:val="000000"/>
          <w:sz w:val="26"/>
          <w:szCs w:val="26"/>
        </w:rPr>
      </w:pPr>
    </w:p>
    <w:p w14:paraId="570261D8" w14:textId="77777777" w:rsidR="00194887" w:rsidRDefault="00194887">
      <w:pPr>
        <w:spacing w:before="1"/>
        <w:rPr>
          <w:color w:val="000000"/>
          <w:sz w:val="26"/>
          <w:szCs w:val="26"/>
        </w:rPr>
      </w:pPr>
    </w:p>
    <w:p w14:paraId="11708F03" w14:textId="77777777" w:rsidR="00194887" w:rsidRDefault="00194887">
      <w:pPr>
        <w:spacing w:before="1"/>
        <w:rPr>
          <w:color w:val="000000"/>
          <w:sz w:val="26"/>
          <w:szCs w:val="26"/>
        </w:rPr>
      </w:pPr>
    </w:p>
    <w:p w14:paraId="262B1D04" w14:textId="77777777" w:rsidR="00194887" w:rsidRDefault="00194887">
      <w:pPr>
        <w:spacing w:before="1"/>
        <w:rPr>
          <w:color w:val="000000"/>
          <w:sz w:val="26"/>
          <w:szCs w:val="26"/>
        </w:rPr>
      </w:pPr>
    </w:p>
    <w:p w14:paraId="5F04DB66" w14:textId="77777777" w:rsidR="00194887" w:rsidRDefault="00194887">
      <w:pPr>
        <w:spacing w:before="1"/>
        <w:rPr>
          <w:color w:val="000000"/>
          <w:sz w:val="26"/>
          <w:szCs w:val="26"/>
        </w:rPr>
      </w:pPr>
    </w:p>
    <w:p w14:paraId="5861B3B1" w14:textId="77777777" w:rsidR="00194887" w:rsidRDefault="00194887">
      <w:pPr>
        <w:rPr>
          <w:b/>
          <w:i/>
          <w:color w:val="000000"/>
          <w:sz w:val="20"/>
          <w:szCs w:val="20"/>
        </w:rPr>
      </w:pPr>
    </w:p>
    <w:p w14:paraId="37376CC3" w14:textId="77777777" w:rsidR="00194887" w:rsidRDefault="00194887">
      <w:pPr>
        <w:rPr>
          <w:color w:val="000000"/>
          <w:sz w:val="20"/>
          <w:szCs w:val="20"/>
        </w:rPr>
      </w:pPr>
    </w:p>
    <w:p w14:paraId="6454380C" w14:textId="77777777" w:rsidR="00194887" w:rsidRDefault="00194887">
      <w:pPr>
        <w:ind w:right="7"/>
        <w:rPr>
          <w:b/>
          <w:u w:val="single"/>
        </w:rPr>
      </w:pPr>
    </w:p>
    <w:p w14:paraId="0DF721F1" w14:textId="77777777" w:rsidR="00000C0F" w:rsidRPr="004030F6" w:rsidRDefault="00000C0F" w:rsidP="004030F6">
      <w:pPr>
        <w:pStyle w:val="Paragraphedeliste"/>
        <w:numPr>
          <w:ilvl w:val="0"/>
          <w:numId w:val="14"/>
        </w:numPr>
        <w:ind w:right="7"/>
        <w:rPr>
          <w:b/>
          <w:u w:val="single"/>
        </w:rPr>
      </w:pPr>
      <w:r w:rsidRPr="004030F6">
        <w:rPr>
          <w:b/>
          <w:u w:val="single"/>
        </w:rPr>
        <w:t>Entité adjudicatrice</w:t>
      </w:r>
    </w:p>
    <w:p w14:paraId="5CDDDE82" w14:textId="77777777" w:rsidR="00000C0F" w:rsidRDefault="00000C0F" w:rsidP="00000C0F">
      <w:pPr>
        <w:pStyle w:val="Paragraphedeliste"/>
        <w:ind w:left="756" w:right="7"/>
      </w:pPr>
    </w:p>
    <w:p w14:paraId="46AE17C3" w14:textId="77777777" w:rsidR="00194887" w:rsidRDefault="00C151E4">
      <w:pPr>
        <w:ind w:right="7"/>
      </w:pPr>
      <w:r>
        <w:t>Ministère de l'éducation nationale et Ministère de l'enseignement supérieur, de la recherche et de l'innovation</w:t>
      </w:r>
      <w:r w:rsidR="00570130">
        <w:t>.</w:t>
      </w:r>
    </w:p>
    <w:p w14:paraId="1FD27B51" w14:textId="77777777" w:rsidR="00194887" w:rsidRDefault="00194887">
      <w:pPr>
        <w:ind w:left="212" w:right="6720"/>
      </w:pPr>
    </w:p>
    <w:p w14:paraId="68D1A658" w14:textId="77777777" w:rsidR="00194887" w:rsidRDefault="00C151E4">
      <w:pPr>
        <w:ind w:right="7"/>
      </w:pPr>
      <w:r>
        <w:t>Structure : GIP FORINVAL de l’Académie d’Amiens</w:t>
      </w:r>
    </w:p>
    <w:p w14:paraId="4DE76897" w14:textId="77777777" w:rsidR="00194887" w:rsidRDefault="00194887">
      <w:pPr>
        <w:spacing w:before="10"/>
        <w:rPr>
          <w:color w:val="000000"/>
          <w:sz w:val="18"/>
          <w:szCs w:val="18"/>
        </w:rPr>
      </w:pPr>
    </w:p>
    <w:p w14:paraId="41A454E7" w14:textId="77777777" w:rsidR="00194887" w:rsidRPr="00570130" w:rsidRDefault="00194887">
      <w:pPr>
        <w:spacing w:before="7"/>
        <w:rPr>
          <w:color w:val="000000"/>
          <w:sz w:val="20"/>
          <w:szCs w:val="20"/>
        </w:rPr>
      </w:pPr>
    </w:p>
    <w:p w14:paraId="5859F8E9" w14:textId="77777777" w:rsidR="00000C0F" w:rsidRPr="004030F6" w:rsidRDefault="00000C0F" w:rsidP="004030F6">
      <w:pPr>
        <w:pStyle w:val="Paragraphedeliste"/>
        <w:numPr>
          <w:ilvl w:val="0"/>
          <w:numId w:val="14"/>
        </w:numPr>
        <w:ind w:right="7"/>
        <w:rPr>
          <w:b/>
          <w:u w:val="single"/>
        </w:rPr>
      </w:pPr>
      <w:bookmarkStart w:id="0" w:name="_heading=h.gjdgxs" w:colFirst="0" w:colLast="0"/>
      <w:bookmarkEnd w:id="0"/>
      <w:r w:rsidRPr="004030F6">
        <w:rPr>
          <w:b/>
          <w:u w:val="single"/>
        </w:rPr>
        <w:t>Objet du marché</w:t>
      </w:r>
    </w:p>
    <w:p w14:paraId="0EAED811" w14:textId="77777777" w:rsidR="00194887" w:rsidRDefault="00194887">
      <w:pPr>
        <w:spacing w:before="6"/>
        <w:rPr>
          <w:b/>
          <w:color w:val="000000"/>
          <w:sz w:val="17"/>
          <w:szCs w:val="17"/>
        </w:rPr>
      </w:pPr>
    </w:p>
    <w:p w14:paraId="64A3BA59" w14:textId="77777777" w:rsidR="00000C0F" w:rsidRPr="007216C9" w:rsidRDefault="00C151E4">
      <w:pPr>
        <w:spacing w:before="56"/>
        <w:ind w:right="208"/>
        <w:jc w:val="both"/>
        <w:rPr>
          <w:color w:val="000000"/>
        </w:rPr>
      </w:pPr>
      <w:r>
        <w:rPr>
          <w:color w:val="000000"/>
        </w:rPr>
        <w:t>Le présent règlement de consultation a pour objet :</w:t>
      </w:r>
    </w:p>
    <w:p w14:paraId="7830CEAE" w14:textId="77777777" w:rsidR="00963A88" w:rsidRPr="007216C9" w:rsidRDefault="007216C9">
      <w:pPr>
        <w:spacing w:before="56"/>
        <w:ind w:right="208"/>
        <w:jc w:val="both"/>
      </w:pPr>
      <w:r w:rsidRPr="007216C9">
        <w:t xml:space="preserve">Transport Hauts-de-France (France) à Villa </w:t>
      </w:r>
      <w:proofErr w:type="spellStart"/>
      <w:r w:rsidRPr="007216C9">
        <w:t>Médicis</w:t>
      </w:r>
      <w:proofErr w:type="spellEnd"/>
      <w:r w:rsidRPr="007216C9">
        <w:t xml:space="preserve"> Rome (Italie) et hébergement</w:t>
      </w:r>
    </w:p>
    <w:p w14:paraId="0375EE10" w14:textId="77777777" w:rsidR="007216C9" w:rsidRDefault="007216C9">
      <w:pPr>
        <w:spacing w:before="56"/>
        <w:ind w:right="208"/>
        <w:jc w:val="both"/>
        <w:rPr>
          <w:b/>
          <w:color w:val="000000"/>
          <w:sz w:val="32"/>
          <w:szCs w:val="32"/>
          <w:highlight w:val="white"/>
        </w:rPr>
      </w:pPr>
    </w:p>
    <w:p w14:paraId="5E3A913C" w14:textId="77777777" w:rsidR="00194887" w:rsidRPr="004030F6" w:rsidRDefault="00C151E4" w:rsidP="004030F6">
      <w:pPr>
        <w:pStyle w:val="Paragraphedeliste"/>
        <w:numPr>
          <w:ilvl w:val="0"/>
          <w:numId w:val="14"/>
        </w:numPr>
        <w:ind w:right="7"/>
        <w:rPr>
          <w:b/>
          <w:u w:val="single"/>
        </w:rPr>
      </w:pPr>
      <w:bookmarkStart w:id="1" w:name="_heading=h.30j0zll" w:colFirst="0" w:colLast="0"/>
      <w:bookmarkEnd w:id="1"/>
      <w:r w:rsidRPr="004030F6">
        <w:rPr>
          <w:b/>
          <w:u w:val="single"/>
        </w:rPr>
        <w:t>Mode de consultation</w:t>
      </w:r>
    </w:p>
    <w:p w14:paraId="07E29832" w14:textId="77777777" w:rsidR="00000C0F" w:rsidRDefault="00000C0F" w:rsidP="00000C0F">
      <w:pPr>
        <w:ind w:right="7"/>
      </w:pPr>
    </w:p>
    <w:p w14:paraId="1AF57123" w14:textId="77777777" w:rsidR="00194887" w:rsidRDefault="00C151E4">
      <w:pPr>
        <w:spacing w:before="123" w:line="230" w:lineRule="auto"/>
        <w:rPr>
          <w:color w:val="000000"/>
        </w:rPr>
      </w:pPr>
      <w:r>
        <w:rPr>
          <w:color w:val="000000"/>
        </w:rPr>
        <w:t xml:space="preserve">Le présent </w:t>
      </w:r>
      <w:r>
        <w:t xml:space="preserve">marché </w:t>
      </w:r>
      <w:r>
        <w:rPr>
          <w:color w:val="000000"/>
        </w:rPr>
        <w:t xml:space="preserve">est un marché à procédure adaptée. </w:t>
      </w:r>
    </w:p>
    <w:p w14:paraId="5501FD51" w14:textId="77777777" w:rsidR="00000C0F" w:rsidRDefault="00000C0F">
      <w:pPr>
        <w:spacing w:before="123" w:line="230" w:lineRule="auto"/>
      </w:pPr>
    </w:p>
    <w:p w14:paraId="485FEFB5" w14:textId="77777777" w:rsidR="00194887" w:rsidRPr="007618E2" w:rsidRDefault="002C160B" w:rsidP="00745468">
      <w:pPr>
        <w:numPr>
          <w:ilvl w:val="0"/>
          <w:numId w:val="2"/>
        </w:numPr>
        <w:pBdr>
          <w:top w:val="nil"/>
          <w:left w:val="nil"/>
          <w:bottom w:val="nil"/>
          <w:right w:val="nil"/>
          <w:between w:val="nil"/>
        </w:pBdr>
        <w:tabs>
          <w:tab w:val="left" w:pos="0"/>
        </w:tabs>
        <w:spacing w:before="1"/>
        <w:rPr>
          <w:b/>
          <w:color w:val="000000"/>
        </w:rPr>
      </w:pPr>
      <w:bookmarkStart w:id="2" w:name="_heading=h.1fob9te" w:colFirst="0" w:colLast="0"/>
      <w:bookmarkEnd w:id="2"/>
      <w:r w:rsidRPr="007618E2">
        <w:rPr>
          <w:color w:val="000000"/>
        </w:rPr>
        <w:t>Nomenclature CPV principale</w:t>
      </w:r>
      <w:r w:rsidR="00C151E4" w:rsidRPr="007618E2">
        <w:rPr>
          <w:color w:val="000000"/>
        </w:rPr>
        <w:t xml:space="preserve"> :</w:t>
      </w:r>
      <w:r w:rsidR="008B0153" w:rsidRPr="007618E2">
        <w:rPr>
          <w:rFonts w:ascii="Trebuchet MS" w:hAnsi="Trebuchet MS"/>
          <w:color w:val="222222"/>
          <w:shd w:val="clear" w:color="auto" w:fill="FFFFFF"/>
        </w:rPr>
        <w:t xml:space="preserve"> 63500000-4 (Services d'agences de voyage), 60116100-5(1) (Transport non régulier de passagers) </w:t>
      </w:r>
      <w:r w:rsidR="008B0153" w:rsidRPr="007618E2">
        <w:t>et 55110000-4</w:t>
      </w:r>
      <w:r w:rsidR="008B0153" w:rsidRPr="007618E2">
        <w:rPr>
          <w:color w:val="000000"/>
        </w:rPr>
        <w:t xml:space="preserve"> </w:t>
      </w:r>
      <w:r w:rsidR="007618E2" w:rsidRPr="007618E2">
        <w:rPr>
          <w:color w:val="000000"/>
        </w:rPr>
        <w:t>(Services d’hébergement hôtelier)</w:t>
      </w:r>
    </w:p>
    <w:p w14:paraId="237BC015" w14:textId="77777777" w:rsidR="00194887" w:rsidRDefault="00194887">
      <w:pPr>
        <w:spacing w:before="4"/>
        <w:rPr>
          <w:b/>
          <w:color w:val="000000"/>
          <w:sz w:val="17"/>
          <w:szCs w:val="17"/>
        </w:rPr>
      </w:pPr>
    </w:p>
    <w:p w14:paraId="5D84AA7D" w14:textId="77777777" w:rsidR="007618E2" w:rsidRDefault="007618E2">
      <w:pPr>
        <w:spacing w:before="4"/>
        <w:rPr>
          <w:b/>
          <w:color w:val="000000"/>
          <w:sz w:val="17"/>
          <w:szCs w:val="17"/>
        </w:rPr>
      </w:pPr>
    </w:p>
    <w:p w14:paraId="458D547A" w14:textId="77777777" w:rsidR="00000C0F" w:rsidRPr="004030F6" w:rsidRDefault="00C151E4" w:rsidP="004030F6">
      <w:pPr>
        <w:pStyle w:val="Paragraphedeliste"/>
        <w:numPr>
          <w:ilvl w:val="0"/>
          <w:numId w:val="14"/>
        </w:numPr>
        <w:ind w:right="7"/>
        <w:rPr>
          <w:b/>
          <w:u w:val="single"/>
        </w:rPr>
      </w:pPr>
      <w:bookmarkStart w:id="3" w:name="_heading=h.3znysh7" w:colFirst="0" w:colLast="0"/>
      <w:bookmarkEnd w:id="3"/>
      <w:r w:rsidRPr="004030F6">
        <w:rPr>
          <w:b/>
          <w:u w:val="single"/>
        </w:rPr>
        <w:t>Forme du marché</w:t>
      </w:r>
    </w:p>
    <w:p w14:paraId="59EEA8B5" w14:textId="77777777" w:rsidR="00194887" w:rsidRDefault="00194887">
      <w:pPr>
        <w:spacing w:before="10"/>
        <w:rPr>
          <w:b/>
          <w:color w:val="000000"/>
          <w:sz w:val="14"/>
          <w:szCs w:val="14"/>
        </w:rPr>
      </w:pPr>
    </w:p>
    <w:p w14:paraId="33CB002C" w14:textId="77777777" w:rsidR="00194887" w:rsidRPr="00000C0F" w:rsidRDefault="00C151E4" w:rsidP="00000C0F">
      <w:pPr>
        <w:spacing w:before="56"/>
        <w:rPr>
          <w:color w:val="000000"/>
        </w:rPr>
      </w:pPr>
      <w:r>
        <w:rPr>
          <w:color w:val="000000"/>
        </w:rPr>
        <w:t>Il s’agit d’une procédure adaptée</w:t>
      </w:r>
      <w:r w:rsidR="00000C0F">
        <w:rPr>
          <w:color w:val="000000"/>
        </w:rPr>
        <w:t xml:space="preserve"> s</w:t>
      </w:r>
      <w:r>
        <w:rPr>
          <w:color w:val="000000"/>
        </w:rPr>
        <w:t>ous la forme d’un</w:t>
      </w:r>
      <w:r>
        <w:t xml:space="preserve"> marché </w:t>
      </w:r>
      <w:r>
        <w:rPr>
          <w:color w:val="000000"/>
        </w:rPr>
        <w:t>mono-attributaire</w:t>
      </w:r>
      <w:r w:rsidR="007618E2">
        <w:rPr>
          <w:color w:val="000000"/>
        </w:rPr>
        <w:t xml:space="preserve"> avec clause suspensive</w:t>
      </w:r>
      <w:r w:rsidR="00963A88">
        <w:rPr>
          <w:color w:val="000000"/>
        </w:rPr>
        <w:t xml:space="preserve">, </w:t>
      </w:r>
      <w:r>
        <w:rPr>
          <w:color w:val="000000"/>
        </w:rPr>
        <w:t>en application des articles L2125-1 et suivants</w:t>
      </w:r>
      <w:r w:rsidR="007618E2">
        <w:rPr>
          <w:color w:val="000000"/>
        </w:rPr>
        <w:t xml:space="preserve"> </w:t>
      </w:r>
      <w:r>
        <w:rPr>
          <w:color w:val="000000"/>
        </w:rPr>
        <w:t>du code de la commande publique.</w:t>
      </w:r>
    </w:p>
    <w:p w14:paraId="0DD2585A" w14:textId="77777777" w:rsidR="00194887" w:rsidRDefault="00194887">
      <w:pPr>
        <w:rPr>
          <w:color w:val="000000"/>
        </w:rPr>
      </w:pPr>
    </w:p>
    <w:p w14:paraId="5994294B" w14:textId="77777777" w:rsidR="00194887" w:rsidRDefault="00194887">
      <w:pPr>
        <w:spacing w:before="5"/>
        <w:rPr>
          <w:color w:val="000000"/>
          <w:sz w:val="17"/>
          <w:szCs w:val="17"/>
        </w:rPr>
      </w:pPr>
    </w:p>
    <w:p w14:paraId="24010FB8" w14:textId="77777777" w:rsidR="00000C0F" w:rsidRPr="004030F6" w:rsidRDefault="00C151E4" w:rsidP="004030F6">
      <w:pPr>
        <w:pStyle w:val="Paragraphedeliste"/>
        <w:numPr>
          <w:ilvl w:val="0"/>
          <w:numId w:val="14"/>
        </w:numPr>
        <w:ind w:right="7"/>
        <w:rPr>
          <w:b/>
          <w:u w:val="single"/>
        </w:rPr>
      </w:pPr>
      <w:bookmarkStart w:id="4" w:name="_heading=h.2et92p0" w:colFirst="0" w:colLast="0"/>
      <w:bookmarkEnd w:id="4"/>
      <w:r w:rsidRPr="004030F6">
        <w:rPr>
          <w:b/>
          <w:u w:val="single"/>
        </w:rPr>
        <w:t>Publicité</w:t>
      </w:r>
    </w:p>
    <w:p w14:paraId="57C4C7C8" w14:textId="77777777" w:rsidR="00194887" w:rsidRDefault="00194887">
      <w:pPr>
        <w:spacing w:before="9"/>
        <w:rPr>
          <w:b/>
          <w:color w:val="000000"/>
          <w:sz w:val="14"/>
          <w:szCs w:val="14"/>
        </w:rPr>
      </w:pPr>
    </w:p>
    <w:p w14:paraId="33311781" w14:textId="77777777" w:rsidR="00194887" w:rsidRDefault="00C151E4">
      <w:pPr>
        <w:spacing w:before="56"/>
      </w:pPr>
      <w:bookmarkStart w:id="5" w:name="_heading=h.tyjcwt" w:colFirst="0" w:colLast="0"/>
      <w:bookmarkEnd w:id="5"/>
      <w:r>
        <w:rPr>
          <w:color w:val="000000"/>
        </w:rPr>
        <w:t>La présente consultation fait l’objet d’une publication sur le profil acheteur du</w:t>
      </w:r>
      <w:r>
        <w:t xml:space="preserve"> GIP FORINVAL</w:t>
      </w:r>
      <w:r>
        <w:rPr>
          <w:color w:val="000000"/>
        </w:rPr>
        <w:t>.</w:t>
      </w:r>
    </w:p>
    <w:p w14:paraId="7D5F6D27" w14:textId="77777777" w:rsidR="00570130" w:rsidRDefault="00570130">
      <w:pPr>
        <w:spacing w:before="56"/>
        <w:rPr>
          <w:color w:val="000000"/>
        </w:rPr>
      </w:pPr>
    </w:p>
    <w:p w14:paraId="50EB6156" w14:textId="77777777" w:rsidR="00000C0F" w:rsidRPr="004030F6" w:rsidRDefault="00C151E4" w:rsidP="004030F6">
      <w:pPr>
        <w:pStyle w:val="Paragraphedeliste"/>
        <w:numPr>
          <w:ilvl w:val="0"/>
          <w:numId w:val="14"/>
        </w:numPr>
        <w:spacing w:before="56"/>
        <w:rPr>
          <w:b/>
          <w:u w:val="single"/>
        </w:rPr>
      </w:pPr>
      <w:r w:rsidRPr="004030F6">
        <w:rPr>
          <w:b/>
          <w:u w:val="single"/>
        </w:rPr>
        <w:t>Allotissement</w:t>
      </w:r>
    </w:p>
    <w:p w14:paraId="7101F6EE" w14:textId="77777777" w:rsidR="00194887" w:rsidRDefault="00194887">
      <w:pPr>
        <w:rPr>
          <w:b/>
          <w:color w:val="000000"/>
          <w:sz w:val="20"/>
          <w:szCs w:val="20"/>
        </w:rPr>
      </w:pPr>
    </w:p>
    <w:p w14:paraId="736B0EBB" w14:textId="77777777" w:rsidR="00194887" w:rsidRDefault="00C151E4">
      <w:pPr>
        <w:pBdr>
          <w:top w:val="nil"/>
          <w:left w:val="nil"/>
          <w:bottom w:val="nil"/>
          <w:right w:val="nil"/>
          <w:between w:val="nil"/>
        </w:pBdr>
      </w:pPr>
      <w:bookmarkStart w:id="6" w:name="_heading=h.3dy6vkm" w:colFirst="0" w:colLast="0"/>
      <w:bookmarkEnd w:id="6"/>
      <w:r>
        <w:t>Le présent marché n’est pas alloti car la nature du marché ne s’y prête pas.</w:t>
      </w:r>
    </w:p>
    <w:p w14:paraId="6D2108F4" w14:textId="77777777" w:rsidR="00570130" w:rsidRDefault="00570130">
      <w:pPr>
        <w:spacing w:before="56"/>
        <w:ind w:right="208"/>
        <w:jc w:val="both"/>
      </w:pPr>
    </w:p>
    <w:p w14:paraId="27615D92" w14:textId="77777777" w:rsidR="004F575C" w:rsidRDefault="004F575C" w:rsidP="004F575C">
      <w:pPr>
        <w:pStyle w:val="Default"/>
        <w:ind w:left="720"/>
        <w:rPr>
          <w:sz w:val="23"/>
          <w:szCs w:val="23"/>
        </w:rPr>
      </w:pPr>
      <w:bookmarkStart w:id="7" w:name="_heading=h.1t3h5sf" w:colFirst="0" w:colLast="0"/>
      <w:bookmarkEnd w:id="7"/>
    </w:p>
    <w:p w14:paraId="5D4F774A" w14:textId="77777777" w:rsidR="0091142D" w:rsidRPr="0091142D" w:rsidRDefault="00C151E4" w:rsidP="004030F6">
      <w:pPr>
        <w:pStyle w:val="Paragraphedeliste"/>
        <w:numPr>
          <w:ilvl w:val="0"/>
          <w:numId w:val="14"/>
        </w:numPr>
        <w:spacing w:before="56"/>
        <w:ind w:right="208"/>
        <w:jc w:val="both"/>
        <w:rPr>
          <w:b/>
          <w:u w:val="single"/>
        </w:rPr>
      </w:pPr>
      <w:r w:rsidRPr="0091142D">
        <w:rPr>
          <w:b/>
          <w:u w:val="single"/>
        </w:rPr>
        <w:t>Modalités de candidature</w:t>
      </w:r>
    </w:p>
    <w:p w14:paraId="4CA03623" w14:textId="77777777" w:rsidR="00194887" w:rsidRDefault="00194887">
      <w:pPr>
        <w:spacing w:before="7"/>
        <w:rPr>
          <w:color w:val="000000"/>
          <w:sz w:val="22"/>
          <w:szCs w:val="22"/>
        </w:rPr>
      </w:pPr>
    </w:p>
    <w:p w14:paraId="3949B7E7" w14:textId="77777777" w:rsidR="00194887" w:rsidRDefault="00C151E4">
      <w:pPr>
        <w:spacing w:before="57"/>
        <w:ind w:right="211"/>
        <w:jc w:val="both"/>
        <w:rPr>
          <w:color w:val="000000"/>
        </w:rPr>
      </w:pPr>
      <w:r>
        <w:rPr>
          <w:color w:val="000000"/>
        </w:rPr>
        <w:t>Dans le cas où le candidat n’est pas en mesure de réaliser seul l’intégralité des prestations, il présente sa candidature sous forme de groupement :</w:t>
      </w:r>
    </w:p>
    <w:p w14:paraId="5C20F4EE" w14:textId="77777777" w:rsidR="00194887" w:rsidRDefault="00C151E4">
      <w:pPr>
        <w:ind w:right="210"/>
        <w:jc w:val="both"/>
        <w:rPr>
          <w:color w:val="000000"/>
        </w:rPr>
      </w:pPr>
      <w:r>
        <w:rPr>
          <w:color w:val="000000"/>
        </w:rPr>
        <w:t>Les entreprises peuvent présenter leur offre sous forme de groupement. Le groupement est solidaire lorsque chacun des opérateurs économiques, membres du groupement, est engagé financièrement pour la totalité du marché.</w:t>
      </w:r>
    </w:p>
    <w:p w14:paraId="77612A65" w14:textId="77777777" w:rsidR="00194887" w:rsidRDefault="00194887">
      <w:pPr>
        <w:spacing w:before="1"/>
        <w:rPr>
          <w:color w:val="000000"/>
        </w:rPr>
      </w:pPr>
    </w:p>
    <w:p w14:paraId="65A46005" w14:textId="77777777" w:rsidR="00194887" w:rsidRDefault="00C151E4">
      <w:pPr>
        <w:ind w:right="211"/>
        <w:jc w:val="both"/>
        <w:rPr>
          <w:color w:val="000000"/>
        </w:rPr>
      </w:pPr>
      <w:r>
        <w:rPr>
          <w:color w:val="000000"/>
        </w:rPr>
        <w:t>Dans ce cas, l’un des prestataires, membre du groupement, désigné dans l’acte d’engagement comme mandataire, représente l’ensemble des membres vis-à-vis du pouvoir Adjudicateur et coordonne les prestations des membres du groupement.</w:t>
      </w:r>
    </w:p>
    <w:p w14:paraId="6E049F44" w14:textId="77777777" w:rsidR="00194887" w:rsidRDefault="00194887">
      <w:pPr>
        <w:spacing w:before="11"/>
        <w:rPr>
          <w:color w:val="000000"/>
          <w:sz w:val="21"/>
          <w:szCs w:val="21"/>
        </w:rPr>
      </w:pPr>
    </w:p>
    <w:p w14:paraId="425EF2C8" w14:textId="77777777" w:rsidR="00194887" w:rsidRDefault="00C151E4">
      <w:pPr>
        <w:ind w:right="211"/>
        <w:jc w:val="both"/>
        <w:rPr>
          <w:color w:val="000000"/>
        </w:rPr>
      </w:pPr>
      <w:r>
        <w:rPr>
          <w:color w:val="000000"/>
        </w:rPr>
        <w:t>En cas de groupement solidaire l’acte d’engament est un document unique qui indique le montant du marché et l’ensemble des prestations que les membres du groupement s’engagent solidairement à réaliser.</w:t>
      </w:r>
    </w:p>
    <w:p w14:paraId="4F94BEE4" w14:textId="77777777" w:rsidR="00194887" w:rsidRDefault="00194887">
      <w:pPr>
        <w:spacing w:before="1"/>
        <w:rPr>
          <w:color w:val="000000"/>
        </w:rPr>
      </w:pPr>
    </w:p>
    <w:p w14:paraId="186C21AC" w14:textId="77777777" w:rsidR="00194887" w:rsidRDefault="00C151E4">
      <w:pPr>
        <w:spacing w:before="1"/>
        <w:ind w:right="211"/>
        <w:jc w:val="both"/>
        <w:rPr>
          <w:color w:val="000000"/>
        </w:rPr>
      </w:pPr>
      <w:r>
        <w:rPr>
          <w:color w:val="000000"/>
        </w:rPr>
        <w:t>Le présent règlement de la consultation interdit aux candidats de présenter pour le marché plusieurs offres en agissant à la fois en qualité de candidats individuels et de membres d’un groupement.</w:t>
      </w:r>
    </w:p>
    <w:p w14:paraId="07548C18" w14:textId="77777777" w:rsidR="00194887" w:rsidRDefault="00C151E4">
      <w:pPr>
        <w:jc w:val="both"/>
        <w:rPr>
          <w:color w:val="000000"/>
        </w:rPr>
      </w:pPr>
      <w:r>
        <w:rPr>
          <w:color w:val="000000"/>
        </w:rPr>
        <w:t>Conformément au code de la commande publique, aucune forme juridique de groupement n’est imposée.</w:t>
      </w:r>
    </w:p>
    <w:p w14:paraId="518F2892" w14:textId="77777777" w:rsidR="00194887" w:rsidRDefault="00194887">
      <w:pPr>
        <w:spacing w:before="10"/>
        <w:rPr>
          <w:color w:val="000000"/>
          <w:sz w:val="21"/>
          <w:szCs w:val="21"/>
        </w:rPr>
      </w:pPr>
    </w:p>
    <w:p w14:paraId="7C143730" w14:textId="77777777" w:rsidR="00194887" w:rsidRDefault="00C151E4">
      <w:pPr>
        <w:jc w:val="both"/>
        <w:rPr>
          <w:color w:val="000000"/>
        </w:rPr>
      </w:pPr>
      <w:r>
        <w:rPr>
          <w:color w:val="000000"/>
        </w:rPr>
        <w:t>Le groupement est conjoint lorsque chacun des opérateurs économiques membre du groupement s’engage à exécuter la ou les prestations qui sont susceptibles de lui être attribués dans le marché public.</w:t>
      </w:r>
    </w:p>
    <w:p w14:paraId="2E961796" w14:textId="77777777" w:rsidR="00194887" w:rsidRDefault="00194887">
      <w:pPr>
        <w:rPr>
          <w:color w:val="000000"/>
        </w:rPr>
      </w:pPr>
    </w:p>
    <w:p w14:paraId="4F13A597" w14:textId="77777777" w:rsidR="00194887" w:rsidRDefault="00C151E4">
      <w:pPr>
        <w:ind w:right="210"/>
        <w:jc w:val="both"/>
        <w:rPr>
          <w:color w:val="000000"/>
        </w:rPr>
      </w:pPr>
      <w:r>
        <w:rPr>
          <w:color w:val="000000"/>
        </w:rPr>
        <w:t>Le groupement est solidaire lorsque chacun des opérateurs économiques membres du groupement est engagé financièrement.</w:t>
      </w:r>
    </w:p>
    <w:p w14:paraId="3FC4725D" w14:textId="77777777" w:rsidR="001A23D8" w:rsidRDefault="001A23D8">
      <w:pPr>
        <w:ind w:right="210"/>
        <w:jc w:val="both"/>
      </w:pPr>
    </w:p>
    <w:p w14:paraId="6E6431D3" w14:textId="77777777" w:rsidR="004030F6" w:rsidRDefault="004030F6">
      <w:pPr>
        <w:ind w:right="210"/>
        <w:jc w:val="both"/>
      </w:pPr>
    </w:p>
    <w:p w14:paraId="14D855E7" w14:textId="77777777" w:rsidR="001A23D8" w:rsidRPr="001A23D8" w:rsidRDefault="001A23D8" w:rsidP="004030F6">
      <w:pPr>
        <w:pStyle w:val="Paragraphedeliste"/>
        <w:numPr>
          <w:ilvl w:val="0"/>
          <w:numId w:val="14"/>
        </w:numPr>
        <w:rPr>
          <w:b/>
          <w:color w:val="000000"/>
          <w:u w:val="single"/>
        </w:rPr>
      </w:pPr>
      <w:r>
        <w:rPr>
          <w:b/>
          <w:color w:val="000000"/>
          <w:u w:val="single"/>
        </w:rPr>
        <w:t>Sous-traitance</w:t>
      </w:r>
    </w:p>
    <w:p w14:paraId="4A64481F" w14:textId="77777777" w:rsidR="001A23D8" w:rsidRDefault="001A23D8">
      <w:pPr>
        <w:ind w:right="210"/>
        <w:jc w:val="both"/>
      </w:pPr>
    </w:p>
    <w:p w14:paraId="042FB8DD" w14:textId="77777777" w:rsidR="00194887" w:rsidRDefault="001A23D8">
      <w:pPr>
        <w:rPr>
          <w:color w:val="000000"/>
        </w:rPr>
      </w:pPr>
      <w:r>
        <w:rPr>
          <w:color w:val="000000"/>
        </w:rPr>
        <w:t>L’offre, qu’elle soit présentée par une seule entreprise ou par un groupement, devra indiquer tous les sous-traitants connus lors de son dépôt, le cas échéant.</w:t>
      </w:r>
    </w:p>
    <w:p w14:paraId="35D3A378" w14:textId="77777777" w:rsidR="00B11465" w:rsidRPr="00B11465" w:rsidRDefault="001A23D8" w:rsidP="001A23D8">
      <w:pPr>
        <w:rPr>
          <w:color w:val="000000"/>
        </w:rPr>
      </w:pPr>
      <w:r>
        <w:rPr>
          <w:color w:val="000000"/>
        </w:rPr>
        <w:t>L’offre devra également indiquer les prestations et montants correspondants dont la sous-traitance est envisagée, la dénomination et la qualité des sous-traitants qui l’exécuteront à la place du titulaire, sauf lorsque le montant est inférieur à 600 euros T.T.C.</w:t>
      </w:r>
      <w:r w:rsidR="00B11465">
        <w:rPr>
          <w:color w:val="000000"/>
        </w:rPr>
        <w:t xml:space="preserve"> Si l’entreprise attributaire désigne des sous-traitant</w:t>
      </w:r>
      <w:r w:rsidR="002C160B">
        <w:rPr>
          <w:color w:val="000000"/>
        </w:rPr>
        <w:t>s</w:t>
      </w:r>
      <w:r w:rsidR="00B11465">
        <w:rPr>
          <w:color w:val="000000"/>
        </w:rPr>
        <w:t xml:space="preserve"> après l’attribution du marché, elle en informe alors immédiatement le pouvoir adjudicateur selon les mêmes règles.</w:t>
      </w:r>
    </w:p>
    <w:p w14:paraId="1332FA61" w14:textId="77777777" w:rsidR="004030F6" w:rsidRDefault="004030F6">
      <w:pPr>
        <w:rPr>
          <w:b/>
          <w:color w:val="000000"/>
          <w:u w:val="single"/>
        </w:rPr>
      </w:pPr>
    </w:p>
    <w:p w14:paraId="25BC0F2A" w14:textId="77777777" w:rsidR="004030F6" w:rsidRDefault="004030F6">
      <w:pPr>
        <w:rPr>
          <w:b/>
          <w:color w:val="000000"/>
          <w:u w:val="single"/>
        </w:rPr>
      </w:pPr>
    </w:p>
    <w:p w14:paraId="3A9E9361" w14:textId="77777777" w:rsidR="0091142D" w:rsidRPr="0091142D" w:rsidRDefault="00C151E4" w:rsidP="004030F6">
      <w:pPr>
        <w:pStyle w:val="Paragraphedeliste"/>
        <w:numPr>
          <w:ilvl w:val="0"/>
          <w:numId w:val="14"/>
        </w:numPr>
        <w:rPr>
          <w:b/>
          <w:color w:val="000000"/>
          <w:u w:val="single"/>
        </w:rPr>
      </w:pPr>
      <w:r w:rsidRPr="0091142D">
        <w:rPr>
          <w:b/>
          <w:color w:val="000000"/>
          <w:u w:val="single"/>
        </w:rPr>
        <w:t>Délai de validité des offres</w:t>
      </w:r>
    </w:p>
    <w:p w14:paraId="7088B0E6" w14:textId="77777777" w:rsidR="00194887" w:rsidRDefault="00194887">
      <w:pPr>
        <w:rPr>
          <w:color w:val="000000"/>
        </w:rPr>
      </w:pPr>
    </w:p>
    <w:p w14:paraId="46F75E64" w14:textId="575F9286" w:rsidR="00194887" w:rsidRDefault="00C151E4">
      <w:pPr>
        <w:rPr>
          <w:color w:val="000000"/>
        </w:rPr>
      </w:pPr>
      <w:r>
        <w:rPr>
          <w:color w:val="000000"/>
        </w:rPr>
        <w:t xml:space="preserve">Le délai de validité des offres est de cent </w:t>
      </w:r>
      <w:r w:rsidR="00CB0C51">
        <w:rPr>
          <w:color w:val="000000"/>
        </w:rPr>
        <w:t>quatre-</w:t>
      </w:r>
      <w:r>
        <w:rPr>
          <w:color w:val="000000"/>
        </w:rPr>
        <w:t>vingt jours (1</w:t>
      </w:r>
      <w:r w:rsidR="0027755C">
        <w:rPr>
          <w:color w:val="000000"/>
        </w:rPr>
        <w:t>8</w:t>
      </w:r>
      <w:r>
        <w:rPr>
          <w:color w:val="000000"/>
        </w:rPr>
        <w:t>0) jours à compter de la date fixée pour la réception des offres. Le présent marché ne deviendra définitif et ne pourra recevoir d’exécution qu’après notification au prestataire retenu.</w:t>
      </w:r>
    </w:p>
    <w:p w14:paraId="1AECFF51" w14:textId="77777777" w:rsidR="00570130" w:rsidRDefault="00570130">
      <w:pPr>
        <w:rPr>
          <w:color w:val="000000"/>
        </w:rPr>
      </w:pPr>
    </w:p>
    <w:p w14:paraId="110B89DD" w14:textId="77777777" w:rsidR="00194887" w:rsidRDefault="00194887">
      <w:pPr>
        <w:spacing w:before="9"/>
        <w:rPr>
          <w:color w:val="000000"/>
          <w:sz w:val="16"/>
          <w:szCs w:val="16"/>
        </w:rPr>
      </w:pPr>
    </w:p>
    <w:p w14:paraId="02B4A90C" w14:textId="77777777" w:rsidR="0091142D" w:rsidRPr="0091142D" w:rsidRDefault="00C151E4" w:rsidP="004030F6">
      <w:pPr>
        <w:pStyle w:val="Paragraphedeliste"/>
        <w:numPr>
          <w:ilvl w:val="0"/>
          <w:numId w:val="14"/>
        </w:numPr>
        <w:spacing w:before="9"/>
        <w:rPr>
          <w:b/>
          <w:color w:val="000000"/>
          <w:u w:val="single"/>
        </w:rPr>
      </w:pPr>
      <w:r w:rsidRPr="0091142D">
        <w:rPr>
          <w:b/>
          <w:color w:val="000000"/>
          <w:u w:val="single"/>
        </w:rPr>
        <w:t>Variantes</w:t>
      </w:r>
    </w:p>
    <w:p w14:paraId="67C5E8F4" w14:textId="77777777" w:rsidR="00194887" w:rsidRDefault="00194887">
      <w:pPr>
        <w:spacing w:before="1"/>
        <w:rPr>
          <w:color w:val="000000"/>
        </w:rPr>
      </w:pPr>
      <w:bookmarkStart w:id="8" w:name="_heading=h.4d34og8" w:colFirst="0" w:colLast="0"/>
      <w:bookmarkEnd w:id="8"/>
    </w:p>
    <w:p w14:paraId="2E86D04E" w14:textId="77777777" w:rsidR="00194887" w:rsidRDefault="00C151E4">
      <w:pPr>
        <w:spacing w:before="1"/>
        <w:rPr>
          <w:color w:val="000000"/>
        </w:rPr>
      </w:pPr>
      <w:r>
        <w:rPr>
          <w:color w:val="000000"/>
        </w:rPr>
        <w:t>Les variantes ne sont pas autorisées.</w:t>
      </w:r>
    </w:p>
    <w:p w14:paraId="04F20DE4" w14:textId="77777777" w:rsidR="00570130" w:rsidRDefault="00570130">
      <w:pPr>
        <w:spacing w:before="1"/>
        <w:rPr>
          <w:color w:val="000000"/>
        </w:rPr>
      </w:pPr>
    </w:p>
    <w:p w14:paraId="550B973A" w14:textId="77777777" w:rsidR="007618E2" w:rsidRDefault="007618E2">
      <w:pPr>
        <w:spacing w:before="1"/>
        <w:rPr>
          <w:color w:val="000000"/>
        </w:rPr>
      </w:pPr>
    </w:p>
    <w:p w14:paraId="38B57D23" w14:textId="77777777" w:rsidR="0091142D" w:rsidRPr="002C160B" w:rsidRDefault="0027755C" w:rsidP="004030F6">
      <w:pPr>
        <w:pStyle w:val="Paragraphedeliste"/>
        <w:numPr>
          <w:ilvl w:val="0"/>
          <w:numId w:val="14"/>
        </w:numPr>
        <w:spacing w:before="1"/>
        <w:rPr>
          <w:b/>
          <w:color w:val="000000"/>
          <w:u w:val="single"/>
        </w:rPr>
      </w:pPr>
      <w:r>
        <w:rPr>
          <w:b/>
          <w:color w:val="000000"/>
          <w:u w:val="single"/>
        </w:rPr>
        <w:t>Clause suspensive</w:t>
      </w:r>
    </w:p>
    <w:p w14:paraId="258E853A" w14:textId="77777777" w:rsidR="00194887" w:rsidRPr="002C160B" w:rsidRDefault="00194887">
      <w:pPr>
        <w:rPr>
          <w:b/>
          <w:u w:val="single"/>
        </w:rPr>
      </w:pPr>
    </w:p>
    <w:p w14:paraId="6799CFEB" w14:textId="77777777" w:rsidR="008F5CCA" w:rsidRDefault="0027755C">
      <w:pPr>
        <w:rPr>
          <w:color w:val="000000"/>
        </w:rPr>
      </w:pPr>
      <w:r>
        <w:rPr>
          <w:color w:val="000000"/>
        </w:rPr>
        <w:t>L’</w:t>
      </w:r>
      <w:r w:rsidR="00386E2D">
        <w:rPr>
          <w:color w:val="000000"/>
        </w:rPr>
        <w:t>exécution</w:t>
      </w:r>
      <w:r>
        <w:rPr>
          <w:color w:val="000000"/>
        </w:rPr>
        <w:t xml:space="preserve"> du présent marché</w:t>
      </w:r>
      <w:r w:rsidR="00386E2D">
        <w:rPr>
          <w:color w:val="000000"/>
        </w:rPr>
        <w:t xml:space="preserve"> est conditionné à la confirmation de l’obtention, par le GIP </w:t>
      </w:r>
      <w:proofErr w:type="spellStart"/>
      <w:r w:rsidR="00386E2D">
        <w:rPr>
          <w:color w:val="000000"/>
        </w:rPr>
        <w:t>Forinval</w:t>
      </w:r>
      <w:proofErr w:type="spellEnd"/>
      <w:r w:rsidR="00386E2D">
        <w:rPr>
          <w:color w:val="000000"/>
        </w:rPr>
        <w:t>, de la subvention FSE+ CMQ opérée par la région Hauts-de-France</w:t>
      </w:r>
      <w:r w:rsidR="008F5CCA">
        <w:rPr>
          <w:color w:val="000000"/>
        </w:rPr>
        <w:t>, dédié au financement du projet « Excellence du geste et innovation technologique, en route vers la villa Médicis » dans lequel s’inscrit le présent marché.</w:t>
      </w:r>
    </w:p>
    <w:p w14:paraId="12CA6003" w14:textId="77777777" w:rsidR="008F5CCA" w:rsidRDefault="008F5CCA">
      <w:pPr>
        <w:rPr>
          <w:color w:val="000000"/>
        </w:rPr>
      </w:pPr>
    </w:p>
    <w:p w14:paraId="78D20D4E" w14:textId="77777777" w:rsidR="008F5CCA" w:rsidRDefault="008F5CCA">
      <w:pPr>
        <w:rPr>
          <w:color w:val="000000"/>
        </w:rPr>
      </w:pPr>
      <w:r>
        <w:rPr>
          <w:color w:val="000000"/>
        </w:rPr>
        <w:lastRenderedPageBreak/>
        <w:t xml:space="preserve">L’entreprise à laquelle sera attribuée le marché sera notifiée de la décision de l’autorité de gestion de cette subvention dans un délai de 15 jours ouvrables après la notification de la décision d’attribution ou de rejet de la demande au GIP </w:t>
      </w:r>
      <w:proofErr w:type="spellStart"/>
      <w:r>
        <w:rPr>
          <w:color w:val="000000"/>
        </w:rPr>
        <w:t>Forinval</w:t>
      </w:r>
      <w:proofErr w:type="spellEnd"/>
      <w:r>
        <w:rPr>
          <w:color w:val="000000"/>
        </w:rPr>
        <w:t>.</w:t>
      </w:r>
    </w:p>
    <w:p w14:paraId="2D556EB6" w14:textId="77777777" w:rsidR="00570130" w:rsidRDefault="00386E2D">
      <w:pPr>
        <w:rPr>
          <w:color w:val="000000"/>
        </w:rPr>
      </w:pPr>
      <w:r>
        <w:rPr>
          <w:color w:val="000000"/>
        </w:rPr>
        <w:t xml:space="preserve"> </w:t>
      </w:r>
    </w:p>
    <w:p w14:paraId="4184FBE2" w14:textId="77777777" w:rsidR="00194887" w:rsidRPr="00570130" w:rsidRDefault="00194887">
      <w:pPr>
        <w:rPr>
          <w:color w:val="000000"/>
        </w:rPr>
      </w:pPr>
    </w:p>
    <w:p w14:paraId="25BFD6AF" w14:textId="77777777" w:rsidR="00194887" w:rsidRDefault="00C151E4" w:rsidP="004030F6">
      <w:pPr>
        <w:pStyle w:val="Paragraphedeliste"/>
        <w:numPr>
          <w:ilvl w:val="0"/>
          <w:numId w:val="14"/>
        </w:numPr>
        <w:rPr>
          <w:b/>
          <w:color w:val="000000"/>
          <w:u w:val="single"/>
        </w:rPr>
      </w:pPr>
      <w:bookmarkStart w:id="9" w:name="_heading=h.2s8eyo1" w:colFirst="0" w:colLast="0"/>
      <w:bookmarkEnd w:id="9"/>
      <w:r w:rsidRPr="0091142D">
        <w:rPr>
          <w:b/>
          <w:color w:val="000000"/>
          <w:u w:val="single"/>
        </w:rPr>
        <w:t>Composition du dossier de consultation</w:t>
      </w:r>
    </w:p>
    <w:p w14:paraId="4B9BB949" w14:textId="77777777" w:rsidR="0091142D" w:rsidRPr="0091142D" w:rsidRDefault="0091142D" w:rsidP="0091142D">
      <w:pPr>
        <w:pStyle w:val="Paragraphedeliste"/>
        <w:rPr>
          <w:b/>
          <w:color w:val="000000"/>
          <w:u w:val="single"/>
        </w:rPr>
      </w:pPr>
    </w:p>
    <w:p w14:paraId="30200AD3" w14:textId="77777777" w:rsidR="00194887" w:rsidRDefault="00C151E4">
      <w:pPr>
        <w:spacing w:before="56"/>
        <w:rPr>
          <w:color w:val="000000"/>
        </w:rPr>
      </w:pPr>
      <w:r>
        <w:rPr>
          <w:color w:val="000000"/>
        </w:rPr>
        <w:t>Un exemplaire du dossier de consultation est téléchargeable sur la plateforme « marches-publics.gouv.fr » par chaque candidat. Il comprend :</w:t>
      </w:r>
    </w:p>
    <w:p w14:paraId="584C0A4E" w14:textId="77777777" w:rsidR="00194887" w:rsidRDefault="00C151E4">
      <w:pPr>
        <w:numPr>
          <w:ilvl w:val="2"/>
          <w:numId w:val="5"/>
        </w:numPr>
        <w:tabs>
          <w:tab w:val="left" w:pos="922"/>
        </w:tabs>
        <w:spacing w:before="121"/>
        <w:ind w:left="921" w:hanging="349"/>
        <w:rPr>
          <w:color w:val="000000"/>
        </w:rPr>
      </w:pPr>
      <w:r>
        <w:rPr>
          <w:color w:val="000000"/>
        </w:rPr>
        <w:t xml:space="preserve">Le présent règlement de la consultation </w:t>
      </w:r>
      <w:r w:rsidR="00570130">
        <w:rPr>
          <w:color w:val="000000"/>
        </w:rPr>
        <w:t>(RC)</w:t>
      </w:r>
    </w:p>
    <w:p w14:paraId="78344160" w14:textId="77777777" w:rsidR="00194887" w:rsidRDefault="00C151E4">
      <w:pPr>
        <w:numPr>
          <w:ilvl w:val="2"/>
          <w:numId w:val="5"/>
        </w:numPr>
        <w:tabs>
          <w:tab w:val="left" w:pos="922"/>
        </w:tabs>
        <w:spacing w:before="120"/>
        <w:ind w:left="921" w:hanging="349"/>
        <w:rPr>
          <w:color w:val="000000"/>
        </w:rPr>
      </w:pPr>
      <w:r>
        <w:rPr>
          <w:color w:val="000000"/>
        </w:rPr>
        <w:t>Le cahier des clauses techniques particulières</w:t>
      </w:r>
      <w:r w:rsidR="00570130">
        <w:rPr>
          <w:color w:val="000000"/>
        </w:rPr>
        <w:t xml:space="preserve"> (CCTP)</w:t>
      </w:r>
    </w:p>
    <w:p w14:paraId="07BD076D" w14:textId="77777777" w:rsidR="002B12F1" w:rsidRDefault="00570130">
      <w:pPr>
        <w:numPr>
          <w:ilvl w:val="2"/>
          <w:numId w:val="5"/>
        </w:numPr>
        <w:tabs>
          <w:tab w:val="left" w:pos="922"/>
        </w:tabs>
        <w:spacing w:before="120"/>
        <w:ind w:left="921" w:hanging="349"/>
        <w:rPr>
          <w:color w:val="000000"/>
        </w:rPr>
      </w:pPr>
      <w:r>
        <w:rPr>
          <w:color w:val="000000"/>
        </w:rPr>
        <w:t>Le bordereau des prix unitaires (BPU)</w:t>
      </w:r>
    </w:p>
    <w:p w14:paraId="79D28456" w14:textId="77777777" w:rsidR="00570130" w:rsidRDefault="00570130" w:rsidP="00570130">
      <w:pPr>
        <w:tabs>
          <w:tab w:val="left" w:pos="922"/>
        </w:tabs>
        <w:spacing w:before="120"/>
        <w:rPr>
          <w:color w:val="000000"/>
        </w:rPr>
      </w:pPr>
    </w:p>
    <w:p w14:paraId="1C2BC9BC" w14:textId="77777777" w:rsidR="00194887" w:rsidRDefault="00194887">
      <w:pPr>
        <w:rPr>
          <w:color w:val="000000"/>
        </w:rPr>
      </w:pPr>
    </w:p>
    <w:p w14:paraId="56E6F9C0" w14:textId="77777777" w:rsidR="0091142D" w:rsidRPr="0091142D" w:rsidRDefault="00C151E4" w:rsidP="004030F6">
      <w:pPr>
        <w:pStyle w:val="Paragraphedeliste"/>
        <w:numPr>
          <w:ilvl w:val="0"/>
          <w:numId w:val="14"/>
        </w:numPr>
        <w:pBdr>
          <w:top w:val="nil"/>
          <w:left w:val="nil"/>
          <w:bottom w:val="nil"/>
          <w:right w:val="nil"/>
          <w:between w:val="nil"/>
        </w:pBdr>
        <w:rPr>
          <w:b/>
          <w:color w:val="000000"/>
          <w:u w:val="single"/>
        </w:rPr>
      </w:pPr>
      <w:bookmarkStart w:id="10" w:name="_heading=h.17dp8vu" w:colFirst="0" w:colLast="0"/>
      <w:bookmarkEnd w:id="10"/>
      <w:r w:rsidRPr="0091142D">
        <w:rPr>
          <w:b/>
          <w:color w:val="000000"/>
          <w:u w:val="single"/>
        </w:rPr>
        <w:t>Mise à disposition du dossier de consultation par voie électronique</w:t>
      </w:r>
    </w:p>
    <w:p w14:paraId="76082D63" w14:textId="77777777" w:rsidR="00194887" w:rsidRDefault="00194887">
      <w:pPr>
        <w:rPr>
          <w:b/>
          <w:color w:val="000000"/>
          <w:sz w:val="20"/>
          <w:szCs w:val="20"/>
        </w:rPr>
      </w:pPr>
    </w:p>
    <w:p w14:paraId="32C22BB9" w14:textId="77777777" w:rsidR="00194887" w:rsidRDefault="00194887">
      <w:pPr>
        <w:spacing w:before="4"/>
        <w:rPr>
          <w:b/>
          <w:color w:val="000000"/>
          <w:sz w:val="19"/>
          <w:szCs w:val="19"/>
        </w:rPr>
      </w:pPr>
    </w:p>
    <w:p w14:paraId="5E141C51" w14:textId="77777777" w:rsidR="00194887" w:rsidRDefault="00C151E4">
      <w:pPr>
        <w:ind w:right="208"/>
        <w:jc w:val="both"/>
      </w:pPr>
      <w:r>
        <w:rPr>
          <w:color w:val="000000"/>
        </w:rPr>
        <w:t xml:space="preserve">Le GIP FORINVAL n’adressera aucun dossier de consultation des entreprises (DCE) sous format papier. Le soumissionnaire pourra obtenir le dossier de consultation sous format électronique en téléchargeant la consultation sur la plateforme accessible par le lien suivant : </w:t>
      </w:r>
      <w:hyperlink r:id="rId9">
        <w:r>
          <w:rPr>
            <w:color w:val="1155CC"/>
            <w:u w:val="single"/>
          </w:rPr>
          <w:t>https://www.marches-publics.gouv.fr/?page=entreprise.AccueilEntreprise</w:t>
        </w:r>
      </w:hyperlink>
    </w:p>
    <w:p w14:paraId="448F2D89" w14:textId="77777777" w:rsidR="00194887" w:rsidRDefault="00194887">
      <w:pPr>
        <w:spacing w:before="7"/>
        <w:rPr>
          <w:color w:val="000000"/>
          <w:sz w:val="25"/>
          <w:szCs w:val="25"/>
        </w:rPr>
      </w:pPr>
    </w:p>
    <w:p w14:paraId="43D2C001" w14:textId="77777777" w:rsidR="00194887" w:rsidRDefault="00C151E4">
      <w:pPr>
        <w:spacing w:before="56"/>
        <w:ind w:right="209"/>
        <w:jc w:val="both"/>
      </w:pPr>
      <w:r>
        <w:t xml:space="preserve">Il est rappelé aux candidats que si l'authentification n'est pas obligatoire pour télécharger le dossier de consultation, elle est néanmoins nécessaire pour </w:t>
      </w:r>
      <w:r>
        <w:rPr>
          <w:b/>
          <w:u w:val="single"/>
        </w:rPr>
        <w:t>la communication des éventuels rectificatifs qui</w:t>
      </w:r>
      <w:r>
        <w:rPr>
          <w:b/>
        </w:rPr>
        <w:t xml:space="preserve"> </w:t>
      </w:r>
      <w:r>
        <w:rPr>
          <w:b/>
          <w:u w:val="single"/>
        </w:rPr>
        <w:t>pourraient être apportés en cours de procédure</w:t>
      </w:r>
      <w:r>
        <w:t>.</w:t>
      </w:r>
    </w:p>
    <w:p w14:paraId="071CBB09" w14:textId="77777777" w:rsidR="00194887" w:rsidRDefault="00C151E4">
      <w:pPr>
        <w:spacing w:before="102"/>
        <w:jc w:val="both"/>
        <w:rPr>
          <w:color w:val="000000"/>
        </w:rPr>
      </w:pPr>
      <w:r>
        <w:rPr>
          <w:color w:val="000000"/>
        </w:rPr>
        <w:t>Les candidats sont donc invités à laisser leurs coordonnées sur le site https://www.marches-publics.gouv.fr/</w:t>
      </w:r>
    </w:p>
    <w:p w14:paraId="7440057C" w14:textId="77777777" w:rsidR="00194887" w:rsidRPr="00570130" w:rsidRDefault="00C151E4" w:rsidP="00570130">
      <w:pPr>
        <w:numPr>
          <w:ilvl w:val="0"/>
          <w:numId w:val="2"/>
        </w:numPr>
        <w:pBdr>
          <w:top w:val="nil"/>
          <w:left w:val="nil"/>
          <w:bottom w:val="nil"/>
          <w:right w:val="nil"/>
          <w:between w:val="nil"/>
        </w:pBdr>
        <w:tabs>
          <w:tab w:val="left" w:pos="0"/>
        </w:tabs>
        <w:spacing w:before="99"/>
        <w:ind w:right="211"/>
        <w:jc w:val="both"/>
        <w:rPr>
          <w:b/>
          <w:color w:val="000000"/>
        </w:rPr>
      </w:pPr>
      <w:bookmarkStart w:id="11" w:name="_heading=h.3rdcrjn" w:colFirst="0" w:colLast="0"/>
      <w:bookmarkEnd w:id="11"/>
      <w:r>
        <w:rPr>
          <w:b/>
          <w:color w:val="000000"/>
        </w:rPr>
        <w:t>Les candidats qui ne se soumettraient pas à la formalité d'authentification décrite ci-dessus ne pourront tenir le GIP FORINVAL pour responsable s'ils ne sont pas avisés des modifications ultérieures du cahier des charges.</w:t>
      </w:r>
    </w:p>
    <w:p w14:paraId="571F4F3F" w14:textId="77777777" w:rsidR="00194887" w:rsidRDefault="00194887">
      <w:pPr>
        <w:pBdr>
          <w:top w:val="nil"/>
          <w:left w:val="nil"/>
          <w:bottom w:val="nil"/>
          <w:right w:val="nil"/>
          <w:between w:val="nil"/>
        </w:pBdr>
        <w:rPr>
          <w:b/>
          <w:color w:val="000000"/>
          <w:u w:val="single"/>
        </w:rPr>
      </w:pPr>
    </w:p>
    <w:p w14:paraId="672FFE9F" w14:textId="77777777" w:rsidR="004030F6" w:rsidRDefault="004030F6">
      <w:pPr>
        <w:pBdr>
          <w:top w:val="nil"/>
          <w:left w:val="nil"/>
          <w:bottom w:val="nil"/>
          <w:right w:val="nil"/>
          <w:between w:val="nil"/>
        </w:pBdr>
        <w:rPr>
          <w:b/>
          <w:color w:val="000000"/>
          <w:u w:val="single"/>
        </w:rPr>
      </w:pPr>
    </w:p>
    <w:p w14:paraId="374818B1" w14:textId="77777777" w:rsidR="0091142D" w:rsidRPr="0091142D" w:rsidRDefault="00C151E4" w:rsidP="004030F6">
      <w:pPr>
        <w:pStyle w:val="Paragraphedeliste"/>
        <w:numPr>
          <w:ilvl w:val="0"/>
          <w:numId w:val="14"/>
        </w:numPr>
        <w:pBdr>
          <w:top w:val="nil"/>
          <w:left w:val="nil"/>
          <w:bottom w:val="nil"/>
          <w:right w:val="nil"/>
          <w:between w:val="nil"/>
        </w:pBdr>
        <w:rPr>
          <w:b/>
          <w:color w:val="000000"/>
          <w:u w:val="single"/>
        </w:rPr>
      </w:pPr>
      <w:bookmarkStart w:id="12" w:name="_heading=h.26in1rg" w:colFirst="0" w:colLast="0"/>
      <w:bookmarkEnd w:id="12"/>
      <w:r w:rsidRPr="0091142D">
        <w:rPr>
          <w:b/>
          <w:color w:val="000000"/>
          <w:u w:val="single"/>
        </w:rPr>
        <w:t>Dépôt des fichiers</w:t>
      </w:r>
    </w:p>
    <w:p w14:paraId="63E80C99" w14:textId="77777777" w:rsidR="00194887" w:rsidRDefault="00194887">
      <w:pPr>
        <w:spacing w:before="4"/>
        <w:rPr>
          <w:b/>
          <w:color w:val="000000"/>
          <w:sz w:val="19"/>
          <w:szCs w:val="19"/>
        </w:rPr>
      </w:pPr>
    </w:p>
    <w:p w14:paraId="583842AA" w14:textId="77777777" w:rsidR="00194887" w:rsidRDefault="00C151E4">
      <w:pPr>
        <w:rPr>
          <w:color w:val="000000"/>
          <w:u w:val="single"/>
        </w:rPr>
      </w:pPr>
      <w:r>
        <w:rPr>
          <w:color w:val="000000"/>
          <w:u w:val="single"/>
        </w:rPr>
        <w:t>Format de fichiers accepté</w:t>
      </w:r>
      <w:r w:rsidR="001A23D8">
        <w:rPr>
          <w:color w:val="000000"/>
          <w:u w:val="single"/>
        </w:rPr>
        <w:t>s :</w:t>
      </w:r>
    </w:p>
    <w:p w14:paraId="016261FB" w14:textId="77777777" w:rsidR="00194887" w:rsidRDefault="00C151E4">
      <w:pPr>
        <w:spacing w:before="101"/>
        <w:rPr>
          <w:color w:val="000000"/>
        </w:rPr>
      </w:pPr>
      <w:r>
        <w:rPr>
          <w:color w:val="000000"/>
        </w:rPr>
        <w:t>Les formats de fichiers utilisés dans l’offre doivent pouvoir être lus par les logiciels utilisés par le pouvoir adjudicateur :</w:t>
      </w:r>
    </w:p>
    <w:p w14:paraId="36559514" w14:textId="77777777" w:rsidR="00194887" w:rsidRDefault="00C151E4">
      <w:pPr>
        <w:numPr>
          <w:ilvl w:val="2"/>
          <w:numId w:val="4"/>
        </w:numPr>
        <w:tabs>
          <w:tab w:val="left" w:pos="-757"/>
        </w:tabs>
        <w:spacing w:before="99"/>
        <w:ind w:hanging="117"/>
        <w:rPr>
          <w:color w:val="000000"/>
        </w:rPr>
      </w:pPr>
      <w:proofErr w:type="gramStart"/>
      <w:r>
        <w:rPr>
          <w:color w:val="000000"/>
        </w:rPr>
        <w:t>format</w:t>
      </w:r>
      <w:proofErr w:type="gramEnd"/>
      <w:r>
        <w:rPr>
          <w:color w:val="000000"/>
        </w:rPr>
        <w:t xml:space="preserve"> </w:t>
      </w:r>
      <w:proofErr w:type="spellStart"/>
      <w:r>
        <w:rPr>
          <w:color w:val="000000"/>
        </w:rPr>
        <w:t>word</w:t>
      </w:r>
      <w:proofErr w:type="spellEnd"/>
      <w:r>
        <w:rPr>
          <w:color w:val="000000"/>
        </w:rPr>
        <w:t xml:space="preserve"> (.doc, .docx) pour les fichiers de traitement de texte,</w:t>
      </w:r>
    </w:p>
    <w:p w14:paraId="0C44F145" w14:textId="77777777" w:rsidR="00194887" w:rsidRDefault="00C151E4">
      <w:pPr>
        <w:numPr>
          <w:ilvl w:val="2"/>
          <w:numId w:val="4"/>
        </w:numPr>
        <w:tabs>
          <w:tab w:val="left" w:pos="-757"/>
        </w:tabs>
        <w:spacing w:before="101"/>
        <w:ind w:hanging="117"/>
        <w:rPr>
          <w:color w:val="000000"/>
        </w:rPr>
      </w:pPr>
      <w:proofErr w:type="gramStart"/>
      <w:r>
        <w:rPr>
          <w:color w:val="000000"/>
        </w:rPr>
        <w:t>format</w:t>
      </w:r>
      <w:proofErr w:type="gramEnd"/>
      <w:r>
        <w:rPr>
          <w:color w:val="000000"/>
        </w:rPr>
        <w:t xml:space="preserve"> </w:t>
      </w:r>
      <w:proofErr w:type="spellStart"/>
      <w:r>
        <w:rPr>
          <w:color w:val="000000"/>
        </w:rPr>
        <w:t>excel</w:t>
      </w:r>
      <w:proofErr w:type="spellEnd"/>
      <w:r>
        <w:rPr>
          <w:color w:val="000000"/>
        </w:rPr>
        <w:t xml:space="preserve"> (.</w:t>
      </w:r>
      <w:proofErr w:type="spellStart"/>
      <w:r>
        <w:rPr>
          <w:color w:val="000000"/>
        </w:rPr>
        <w:t>xls</w:t>
      </w:r>
      <w:proofErr w:type="spellEnd"/>
      <w:r>
        <w:rPr>
          <w:color w:val="000000"/>
        </w:rPr>
        <w:t>, .xlsx) pour les fichiers de tableurs,</w:t>
      </w:r>
    </w:p>
    <w:p w14:paraId="4BE88A34" w14:textId="77777777" w:rsidR="00194887" w:rsidRDefault="00C151E4">
      <w:pPr>
        <w:numPr>
          <w:ilvl w:val="2"/>
          <w:numId w:val="4"/>
        </w:numPr>
        <w:tabs>
          <w:tab w:val="left" w:pos="-757"/>
        </w:tabs>
        <w:spacing w:before="98"/>
        <w:ind w:hanging="117"/>
        <w:rPr>
          <w:color w:val="000000"/>
        </w:rPr>
      </w:pPr>
      <w:proofErr w:type="gramStart"/>
      <w:r>
        <w:rPr>
          <w:color w:val="000000"/>
        </w:rPr>
        <w:t>format</w:t>
      </w:r>
      <w:proofErr w:type="gramEnd"/>
      <w:r>
        <w:rPr>
          <w:color w:val="000000"/>
        </w:rPr>
        <w:t xml:space="preserve"> de document portable (.</w:t>
      </w:r>
      <w:proofErr w:type="spellStart"/>
      <w:r>
        <w:rPr>
          <w:color w:val="000000"/>
        </w:rPr>
        <w:t>pdf</w:t>
      </w:r>
      <w:proofErr w:type="spellEnd"/>
      <w:r>
        <w:rPr>
          <w:color w:val="000000"/>
        </w:rPr>
        <w:t>) compatible avec le lecteur Acrobat,</w:t>
      </w:r>
    </w:p>
    <w:p w14:paraId="330AD830" w14:textId="77777777" w:rsidR="00194887" w:rsidRDefault="00C151E4">
      <w:pPr>
        <w:numPr>
          <w:ilvl w:val="2"/>
          <w:numId w:val="4"/>
        </w:numPr>
        <w:tabs>
          <w:tab w:val="left" w:pos="-757"/>
        </w:tabs>
        <w:spacing w:before="101"/>
        <w:ind w:hanging="117"/>
        <w:rPr>
          <w:color w:val="000000"/>
        </w:rPr>
      </w:pPr>
      <w:proofErr w:type="gramStart"/>
      <w:r>
        <w:rPr>
          <w:color w:val="000000"/>
        </w:rPr>
        <w:t>format</w:t>
      </w:r>
      <w:proofErr w:type="gramEnd"/>
      <w:r>
        <w:rPr>
          <w:color w:val="000000"/>
        </w:rPr>
        <w:t xml:space="preserve"> jpeg (.jpg) pour les images,</w:t>
      </w:r>
    </w:p>
    <w:p w14:paraId="42148779" w14:textId="77777777" w:rsidR="00194887" w:rsidRDefault="00C151E4">
      <w:pPr>
        <w:numPr>
          <w:ilvl w:val="2"/>
          <w:numId w:val="4"/>
        </w:numPr>
        <w:tabs>
          <w:tab w:val="left" w:pos="-757"/>
        </w:tabs>
        <w:spacing w:before="100"/>
        <w:ind w:hanging="117"/>
        <w:rPr>
          <w:color w:val="000000"/>
        </w:rPr>
      </w:pPr>
      <w:proofErr w:type="gramStart"/>
      <w:r>
        <w:rPr>
          <w:color w:val="000000"/>
        </w:rPr>
        <w:t>format</w:t>
      </w:r>
      <w:proofErr w:type="gramEnd"/>
      <w:r>
        <w:rPr>
          <w:color w:val="000000"/>
        </w:rPr>
        <w:t xml:space="preserve"> </w:t>
      </w:r>
      <w:proofErr w:type="spellStart"/>
      <w:r>
        <w:rPr>
          <w:color w:val="000000"/>
        </w:rPr>
        <w:t>powerpoint</w:t>
      </w:r>
      <w:proofErr w:type="spellEnd"/>
      <w:r>
        <w:rPr>
          <w:color w:val="000000"/>
        </w:rPr>
        <w:t xml:space="preserve"> (.</w:t>
      </w:r>
      <w:proofErr w:type="spellStart"/>
      <w:r>
        <w:rPr>
          <w:color w:val="000000"/>
        </w:rPr>
        <w:t>ppt</w:t>
      </w:r>
      <w:proofErr w:type="spellEnd"/>
      <w:r>
        <w:rPr>
          <w:color w:val="000000"/>
        </w:rPr>
        <w:t>, .pptx) pour les diaporamas,</w:t>
      </w:r>
    </w:p>
    <w:p w14:paraId="289E0539" w14:textId="77777777" w:rsidR="00194887" w:rsidRDefault="00C151E4">
      <w:pPr>
        <w:numPr>
          <w:ilvl w:val="2"/>
          <w:numId w:val="4"/>
        </w:numPr>
        <w:tabs>
          <w:tab w:val="left" w:pos="-757"/>
        </w:tabs>
        <w:spacing w:before="101"/>
        <w:ind w:hanging="117"/>
        <w:rPr>
          <w:color w:val="000000"/>
        </w:rPr>
      </w:pPr>
      <w:proofErr w:type="gramStart"/>
      <w:r>
        <w:rPr>
          <w:color w:val="000000"/>
        </w:rPr>
        <w:t>format</w:t>
      </w:r>
      <w:proofErr w:type="gramEnd"/>
      <w:r>
        <w:rPr>
          <w:color w:val="000000"/>
        </w:rPr>
        <w:t xml:space="preserve"> zip (.zip) pour les fichiers et dossiers compressés.</w:t>
      </w:r>
    </w:p>
    <w:p w14:paraId="513B347F" w14:textId="77777777" w:rsidR="00194887" w:rsidRDefault="00C151E4">
      <w:pPr>
        <w:spacing w:before="101"/>
        <w:ind w:left="212"/>
        <w:rPr>
          <w:color w:val="000000"/>
        </w:rPr>
      </w:pPr>
      <w:r>
        <w:rPr>
          <w:color w:val="000000"/>
        </w:rPr>
        <w:t>L’utilisation de macros ne sera pas tolérée.</w:t>
      </w:r>
    </w:p>
    <w:p w14:paraId="6759CF57" w14:textId="77777777" w:rsidR="00570130" w:rsidRDefault="00C151E4" w:rsidP="001A23D8">
      <w:pPr>
        <w:spacing w:before="98"/>
        <w:ind w:left="212"/>
        <w:rPr>
          <w:color w:val="000000"/>
        </w:rPr>
      </w:pPr>
      <w:r>
        <w:rPr>
          <w:color w:val="000000"/>
        </w:rPr>
        <w:lastRenderedPageBreak/>
        <w:t>Les candidats disposent sur le site d'une aide pour les procédures électroniques qui expose le mode opératoire relatif au dépôt des offres.</w:t>
      </w:r>
    </w:p>
    <w:p w14:paraId="7B742953" w14:textId="77777777" w:rsidR="00194887" w:rsidRDefault="00194887">
      <w:pPr>
        <w:spacing w:before="101"/>
        <w:ind w:left="212"/>
        <w:rPr>
          <w:color w:val="000000"/>
        </w:rPr>
      </w:pPr>
    </w:p>
    <w:p w14:paraId="3262447F" w14:textId="77777777" w:rsidR="001A23D8" w:rsidRDefault="001A23D8">
      <w:pPr>
        <w:spacing w:before="101"/>
        <w:ind w:left="212"/>
        <w:rPr>
          <w:color w:val="000000"/>
        </w:rPr>
      </w:pPr>
    </w:p>
    <w:p w14:paraId="7EEA92D3" w14:textId="77777777" w:rsidR="0091142D" w:rsidRPr="0091142D" w:rsidRDefault="00C151E4" w:rsidP="004030F6">
      <w:pPr>
        <w:pStyle w:val="Paragraphedeliste"/>
        <w:numPr>
          <w:ilvl w:val="0"/>
          <w:numId w:val="14"/>
        </w:numPr>
        <w:pBdr>
          <w:top w:val="nil"/>
          <w:left w:val="nil"/>
          <w:bottom w:val="nil"/>
          <w:right w:val="nil"/>
          <w:between w:val="nil"/>
        </w:pBdr>
        <w:rPr>
          <w:b/>
          <w:color w:val="000000"/>
          <w:u w:val="single"/>
        </w:rPr>
      </w:pPr>
      <w:bookmarkStart w:id="13" w:name="_heading=h.lnxbz9" w:colFirst="0" w:colLast="0"/>
      <w:bookmarkEnd w:id="13"/>
      <w:r w:rsidRPr="0091142D">
        <w:rPr>
          <w:b/>
          <w:color w:val="000000"/>
          <w:u w:val="single"/>
        </w:rPr>
        <w:t>Choix du mode de transmission des plis</w:t>
      </w:r>
    </w:p>
    <w:p w14:paraId="080FAEED" w14:textId="77777777" w:rsidR="00194887" w:rsidRDefault="00194887">
      <w:pPr>
        <w:spacing w:before="8"/>
        <w:rPr>
          <w:b/>
          <w:color w:val="000000"/>
          <w:sz w:val="25"/>
          <w:szCs w:val="25"/>
        </w:rPr>
      </w:pPr>
    </w:p>
    <w:p w14:paraId="5CB680C1" w14:textId="77777777" w:rsidR="00194887" w:rsidRDefault="00C151E4">
      <w:pPr>
        <w:spacing w:before="57"/>
        <w:ind w:right="210"/>
        <w:jc w:val="both"/>
      </w:pPr>
      <w:r>
        <w:rPr>
          <w:color w:val="000000"/>
        </w:rPr>
        <w:t xml:space="preserve">Les candidats doivent remettre un dossier de candidature et d’offre uniquement par voie électronique via la plateforme </w:t>
      </w:r>
      <w:r>
        <w:rPr>
          <w:b/>
          <w:i/>
          <w:color w:val="000000"/>
        </w:rPr>
        <w:t>https://www.marches-publics.gouv.fr/?page=entreprise.AccueilEntreprise</w:t>
      </w:r>
    </w:p>
    <w:p w14:paraId="607650F7" w14:textId="77777777" w:rsidR="00194887" w:rsidRDefault="00C151E4">
      <w:pPr>
        <w:spacing w:before="99"/>
        <w:ind w:right="209"/>
        <w:jc w:val="both"/>
        <w:rPr>
          <w:color w:val="000000"/>
        </w:rPr>
      </w:pPr>
      <w:r>
        <w:rPr>
          <w:color w:val="000000"/>
        </w:rPr>
        <w:t>En cas de transmission par voie électronique via la plate-forme de dématérialisation, le candidat dispose de la faculté de transmettre également une copie de sauvegarde sous format papier ou sur support physique électronique dans les conditions fixées par l’arrêté du 27 juillet 2018 fixant les modalités de mise à disposition des documents de la consultation et de la copie de sauvegarde.</w:t>
      </w:r>
    </w:p>
    <w:p w14:paraId="360D004D" w14:textId="77777777" w:rsidR="00194887" w:rsidRDefault="00C151E4">
      <w:pPr>
        <w:spacing w:before="102"/>
        <w:jc w:val="both"/>
        <w:rPr>
          <w:color w:val="000000"/>
        </w:rPr>
      </w:pPr>
      <w:r>
        <w:rPr>
          <w:color w:val="000000"/>
        </w:rPr>
        <w:t>Le candidat devra veiller à inscrire « copie de sauvegarde » sur l’envoi de sa copie.</w:t>
      </w:r>
    </w:p>
    <w:p w14:paraId="2BD16B62" w14:textId="77777777" w:rsidR="00194887" w:rsidRDefault="00C151E4">
      <w:pPr>
        <w:spacing w:before="98"/>
        <w:ind w:right="212"/>
        <w:jc w:val="both"/>
      </w:pPr>
      <w:r>
        <w:rPr>
          <w:color w:val="000000"/>
        </w:rPr>
        <w:t xml:space="preserve">Cette copie ne pourra être ouverte par la </w:t>
      </w:r>
      <w:r>
        <w:t>GIP FORINVAL</w:t>
      </w:r>
      <w:r>
        <w:rPr>
          <w:color w:val="000000"/>
        </w:rPr>
        <w:t xml:space="preserve"> qu'en cas de défaillance du système informatique ou si un virus est détecté dans le document électronique transmis via la plate-forme. Les fichiers doivent être préalablement traités par le candidat par un anti-virus régulièrement mis à jour.</w:t>
      </w:r>
    </w:p>
    <w:p w14:paraId="1C11472D" w14:textId="77777777" w:rsidR="00194887" w:rsidRDefault="00C151E4">
      <w:pPr>
        <w:spacing w:before="100"/>
        <w:jc w:val="both"/>
        <w:rPr>
          <w:color w:val="000000"/>
        </w:rPr>
      </w:pPr>
      <w:r>
        <w:rPr>
          <w:color w:val="000000"/>
        </w:rPr>
        <w:t>Lorsque le pouvoir adjudicateur détecte dans un document transmis par voie électronique un programme informatique malveillant (virus), il procède selon les modalités fixées dans l’arrêté visé ci-dessus.</w:t>
      </w:r>
    </w:p>
    <w:p w14:paraId="5DE44224" w14:textId="77777777" w:rsidR="00194887" w:rsidRDefault="00C151E4">
      <w:pPr>
        <w:pBdr>
          <w:top w:val="nil"/>
          <w:left w:val="nil"/>
          <w:bottom w:val="nil"/>
          <w:right w:val="nil"/>
          <w:between w:val="nil"/>
        </w:pBdr>
        <w:rPr>
          <w:b/>
          <w:color w:val="000000"/>
        </w:rPr>
      </w:pPr>
      <w:bookmarkStart w:id="14" w:name="_heading=h.35nkun2" w:colFirst="0" w:colLast="0"/>
      <w:bookmarkEnd w:id="14"/>
      <w:r>
        <w:rPr>
          <w:b/>
          <w:color w:val="000000"/>
        </w:rPr>
        <w:t>Attention, conformément à l’article R2151-6 du code de la commande publique : il est précisé qu’en cas d’envois successifs, seul le dernier pli sera considéré comme recevable et donc ouvert.</w:t>
      </w:r>
    </w:p>
    <w:p w14:paraId="18CA5325" w14:textId="77777777" w:rsidR="00194887" w:rsidRDefault="00C151E4">
      <w:pPr>
        <w:spacing w:before="98"/>
        <w:ind w:right="208"/>
        <w:jc w:val="both"/>
        <w:rPr>
          <w:color w:val="000000"/>
        </w:rPr>
      </w:pPr>
      <w:r>
        <w:rPr>
          <w:color w:val="000000"/>
        </w:rPr>
        <w:t>En tout état de cause, les plis doivent parvenir sur la plateforme impérativement avant la date et heure indiquées ci-dessous :</w:t>
      </w:r>
    </w:p>
    <w:p w14:paraId="24E473C8" w14:textId="34377764" w:rsidR="00194887" w:rsidRPr="002605C7" w:rsidRDefault="002C160B" w:rsidP="00570130">
      <w:pPr>
        <w:spacing w:before="98"/>
        <w:ind w:right="208"/>
        <w:jc w:val="both"/>
      </w:pPr>
      <w:r w:rsidRPr="00BF60D2">
        <w:rPr>
          <w:b/>
        </w:rPr>
        <w:t>30</w:t>
      </w:r>
      <w:r w:rsidR="002605C7" w:rsidRPr="00BF60D2">
        <w:rPr>
          <w:b/>
        </w:rPr>
        <w:t>/0</w:t>
      </w:r>
      <w:r w:rsidR="00B46B6D">
        <w:rPr>
          <w:b/>
        </w:rPr>
        <w:t>6</w:t>
      </w:r>
      <w:r w:rsidR="002605C7" w:rsidRPr="00BF60D2">
        <w:rPr>
          <w:b/>
        </w:rPr>
        <w:t>/202</w:t>
      </w:r>
      <w:r w:rsidR="00B46B6D">
        <w:rPr>
          <w:b/>
        </w:rPr>
        <w:t>5</w:t>
      </w:r>
      <w:r w:rsidR="002605C7" w:rsidRPr="00BF60D2">
        <w:rPr>
          <w:b/>
        </w:rPr>
        <w:t xml:space="preserve"> à 12h00</w:t>
      </w:r>
    </w:p>
    <w:p w14:paraId="6B3A821E" w14:textId="77777777" w:rsidR="00194887" w:rsidRDefault="00194887">
      <w:pPr>
        <w:pBdr>
          <w:top w:val="nil"/>
          <w:left w:val="nil"/>
          <w:bottom w:val="nil"/>
          <w:right w:val="nil"/>
          <w:between w:val="nil"/>
        </w:pBdr>
        <w:rPr>
          <w:b/>
          <w:color w:val="000000"/>
          <w:u w:val="single"/>
        </w:rPr>
      </w:pPr>
    </w:p>
    <w:p w14:paraId="3E9E9729" w14:textId="77777777" w:rsidR="004030F6" w:rsidRDefault="004030F6">
      <w:pPr>
        <w:pBdr>
          <w:top w:val="nil"/>
          <w:left w:val="nil"/>
          <w:bottom w:val="nil"/>
          <w:right w:val="nil"/>
          <w:between w:val="nil"/>
        </w:pBdr>
        <w:rPr>
          <w:b/>
          <w:color w:val="000000"/>
          <w:u w:val="single"/>
        </w:rPr>
      </w:pPr>
    </w:p>
    <w:p w14:paraId="6519C6B3" w14:textId="77777777" w:rsidR="00194887" w:rsidRPr="0091142D" w:rsidRDefault="00C151E4" w:rsidP="004030F6">
      <w:pPr>
        <w:pStyle w:val="Paragraphedeliste"/>
        <w:numPr>
          <w:ilvl w:val="0"/>
          <w:numId w:val="14"/>
        </w:numPr>
        <w:pBdr>
          <w:top w:val="nil"/>
          <w:left w:val="nil"/>
          <w:bottom w:val="nil"/>
          <w:right w:val="nil"/>
          <w:between w:val="nil"/>
        </w:pBdr>
        <w:rPr>
          <w:b/>
          <w:color w:val="000000"/>
          <w:u w:val="single"/>
        </w:rPr>
      </w:pPr>
      <w:bookmarkStart w:id="15" w:name="_heading=h.1ksv4uv" w:colFirst="0" w:colLast="0"/>
      <w:bookmarkEnd w:id="15"/>
      <w:r w:rsidRPr="0091142D">
        <w:rPr>
          <w:b/>
          <w:color w:val="000000"/>
          <w:u w:val="single"/>
        </w:rPr>
        <w:t>Documents à produire</w:t>
      </w:r>
      <w:r w:rsidR="0091142D" w:rsidRPr="0091142D">
        <w:rPr>
          <w:b/>
          <w:color w:val="000000"/>
          <w:u w:val="single"/>
        </w:rPr>
        <w:t xml:space="preserve"> pour le dossier de candidature</w:t>
      </w:r>
    </w:p>
    <w:p w14:paraId="28E8B3D2" w14:textId="77777777" w:rsidR="0091142D" w:rsidRPr="0091142D" w:rsidRDefault="0091142D" w:rsidP="0091142D">
      <w:pPr>
        <w:pBdr>
          <w:top w:val="nil"/>
          <w:left w:val="nil"/>
          <w:bottom w:val="nil"/>
          <w:right w:val="nil"/>
          <w:between w:val="nil"/>
        </w:pBdr>
        <w:rPr>
          <w:b/>
          <w:color w:val="000000"/>
          <w:u w:val="single"/>
        </w:rPr>
      </w:pPr>
    </w:p>
    <w:p w14:paraId="02473D42" w14:textId="77777777" w:rsidR="00194887" w:rsidRDefault="00C151E4">
      <w:pPr>
        <w:numPr>
          <w:ilvl w:val="0"/>
          <w:numId w:val="7"/>
        </w:numPr>
        <w:tabs>
          <w:tab w:val="left" w:pos="-895"/>
        </w:tabs>
        <w:spacing w:before="56"/>
        <w:ind w:left="0" w:right="210" w:firstLine="0"/>
        <w:jc w:val="both"/>
        <w:rPr>
          <w:color w:val="000000"/>
        </w:rPr>
      </w:pPr>
      <w:r>
        <w:rPr>
          <w:color w:val="000000"/>
        </w:rPr>
        <w:t>Une lettre de candidature mentionnant si le candidat se présente seul ou en groupement et qui précisera si le groupement est conjoint ou solidaire (ou le candidat complète l’intégralité du DC1 fourni dans le dossier de consultation des entreprises). En cas de groupement, la lettre fera apparaitre les membres du groupement et sera signée par l’ensemble des membres ou par le mandataire s’il justifie des habilitations nécessaires pour représenter ces membres ;</w:t>
      </w:r>
    </w:p>
    <w:p w14:paraId="0205C8C6" w14:textId="77777777" w:rsidR="00194887" w:rsidRDefault="00C151E4">
      <w:pPr>
        <w:numPr>
          <w:ilvl w:val="0"/>
          <w:numId w:val="7"/>
        </w:numPr>
        <w:tabs>
          <w:tab w:val="left" w:pos="-895"/>
        </w:tabs>
        <w:spacing w:before="56"/>
        <w:ind w:left="0" w:right="210" w:firstLine="0"/>
        <w:jc w:val="both"/>
        <w:rPr>
          <w:color w:val="000000"/>
        </w:rPr>
      </w:pPr>
      <w:r>
        <w:rPr>
          <w:color w:val="000000"/>
        </w:rPr>
        <w:t>Une déclaration sur l’honneur dûment datée et signée par la personne habilitée à l’engager, pour justifier que le candidat n’entre dans aucun des cas mentionnés aux articles L. 2141-1 à L. 2141-5 ou aux articles L. 2141-7 à L. 2141-10 du code de la commande publique (si le candidat utilise le DC1 fourni dans le dossier de consultation des entreprises : il coche la case figurant dans la partie F1 du DC1 au lieu de fournir une déclaration sur l’honneur) ;</w:t>
      </w:r>
    </w:p>
    <w:p w14:paraId="32F40576" w14:textId="77777777" w:rsidR="00194887" w:rsidRDefault="00C151E4">
      <w:pPr>
        <w:numPr>
          <w:ilvl w:val="0"/>
          <w:numId w:val="7"/>
        </w:numPr>
        <w:tabs>
          <w:tab w:val="left" w:pos="-895"/>
        </w:tabs>
        <w:spacing w:before="56"/>
        <w:ind w:left="0" w:right="210" w:firstLine="0"/>
        <w:jc w:val="both"/>
        <w:rPr>
          <w:color w:val="000000"/>
        </w:rPr>
      </w:pPr>
      <w:r>
        <w:rPr>
          <w:color w:val="000000"/>
        </w:rPr>
        <w:t>Une attestation fiscale datant de moins d’un an.</w:t>
      </w:r>
    </w:p>
    <w:p w14:paraId="56824CD0" w14:textId="77777777" w:rsidR="00194887" w:rsidRDefault="00C151E4">
      <w:pPr>
        <w:numPr>
          <w:ilvl w:val="0"/>
          <w:numId w:val="7"/>
        </w:numPr>
        <w:tabs>
          <w:tab w:val="left" w:pos="-895"/>
        </w:tabs>
        <w:spacing w:before="56"/>
        <w:ind w:left="0" w:right="210" w:firstLine="0"/>
        <w:jc w:val="both"/>
        <w:rPr>
          <w:color w:val="000000"/>
        </w:rPr>
      </w:pPr>
      <w:r>
        <w:rPr>
          <w:color w:val="000000"/>
        </w:rPr>
        <w:t>Une attestation sociale (URSSAF) datant de moins de 6 mois.</w:t>
      </w:r>
    </w:p>
    <w:p w14:paraId="5FC9AEAA" w14:textId="77777777" w:rsidR="00194887" w:rsidRDefault="00C151E4">
      <w:pPr>
        <w:numPr>
          <w:ilvl w:val="0"/>
          <w:numId w:val="7"/>
        </w:numPr>
        <w:tabs>
          <w:tab w:val="left" w:pos="-895"/>
        </w:tabs>
        <w:spacing w:before="56"/>
        <w:ind w:left="0" w:right="210" w:firstLine="0"/>
        <w:jc w:val="both"/>
        <w:rPr>
          <w:color w:val="000000"/>
        </w:rPr>
      </w:pPr>
      <w:r>
        <w:rPr>
          <w:color w:val="000000"/>
        </w:rPr>
        <w:lastRenderedPageBreak/>
        <w:t>Un extrait de l’inscription au registre du commerce et des sociétés (KBIS) ou tout équivalent.</w:t>
      </w:r>
    </w:p>
    <w:p w14:paraId="573E8733" w14:textId="77777777" w:rsidR="00194887" w:rsidRDefault="00C151E4">
      <w:pPr>
        <w:numPr>
          <w:ilvl w:val="0"/>
          <w:numId w:val="7"/>
        </w:numPr>
        <w:tabs>
          <w:tab w:val="left" w:pos="-895"/>
        </w:tabs>
        <w:spacing w:before="56"/>
        <w:ind w:left="0" w:right="210" w:firstLine="0"/>
        <w:jc w:val="both"/>
        <w:rPr>
          <w:color w:val="000000"/>
        </w:rPr>
      </w:pPr>
      <w:r>
        <w:rPr>
          <w:color w:val="000000"/>
        </w:rPr>
        <w:t>Une déclaration indiquant que le candidat est en règle au regard des dispositions du code du travail concernant l’emploi des travailleurs handicapés (s’il est concerné par ces dispositions) ;</w:t>
      </w:r>
    </w:p>
    <w:p w14:paraId="14D58865" w14:textId="77777777" w:rsidR="00194887" w:rsidRDefault="00C151E4">
      <w:pPr>
        <w:numPr>
          <w:ilvl w:val="0"/>
          <w:numId w:val="7"/>
        </w:numPr>
        <w:tabs>
          <w:tab w:val="left" w:pos="-895"/>
        </w:tabs>
        <w:spacing w:before="56"/>
        <w:ind w:left="0" w:right="210" w:firstLine="0"/>
        <w:jc w:val="both"/>
        <w:rPr>
          <w:color w:val="000000"/>
        </w:rPr>
      </w:pPr>
      <w:r>
        <w:rPr>
          <w:color w:val="000000"/>
        </w:rPr>
        <w:t>L’attestation Responsabilité Civile Professionnelle pour l’année en cours et en vigueur à la date de remise des offres ;</w:t>
      </w:r>
    </w:p>
    <w:p w14:paraId="5EDE4E80" w14:textId="77777777" w:rsidR="00194887" w:rsidRDefault="00C151E4">
      <w:pPr>
        <w:numPr>
          <w:ilvl w:val="0"/>
          <w:numId w:val="7"/>
        </w:numPr>
        <w:tabs>
          <w:tab w:val="left" w:pos="-895"/>
        </w:tabs>
        <w:spacing w:before="56"/>
        <w:ind w:left="0" w:right="210" w:firstLine="0"/>
        <w:jc w:val="both"/>
        <w:rPr>
          <w:color w:val="000000"/>
        </w:rPr>
      </w:pPr>
      <w:r>
        <w:rPr>
          <w:color w:val="000000"/>
        </w:rPr>
        <w:t>Si le candidat est en redressement judiciaire, il produit la copie du ou des jugements prononcés à cet effet.</w:t>
      </w:r>
    </w:p>
    <w:p w14:paraId="11766D1A" w14:textId="77777777" w:rsidR="00194887" w:rsidRDefault="00C151E4">
      <w:pPr>
        <w:numPr>
          <w:ilvl w:val="0"/>
          <w:numId w:val="7"/>
        </w:numPr>
        <w:tabs>
          <w:tab w:val="left" w:pos="-895"/>
        </w:tabs>
        <w:spacing w:before="56"/>
        <w:ind w:left="0" w:right="210" w:firstLine="0"/>
        <w:jc w:val="both"/>
      </w:pPr>
      <w:r>
        <w:rPr>
          <w:color w:val="000000"/>
        </w:rPr>
        <w:t>Le chiffre d’affaire global du candidat et le chiffre d’affaire relatif à l’objet du marché sur les trois derniers exercices disponibles en fonction du début d’activité du candidat (</w:t>
      </w:r>
      <w:r>
        <w:rPr>
          <w:b/>
          <w:color w:val="000000"/>
        </w:rPr>
        <w:t>ou le candidat complète l’intégralité du DC2 fourni dans le dossier de consultation des entreprises</w:t>
      </w:r>
      <w:r>
        <w:rPr>
          <w:color w:val="000000"/>
        </w:rPr>
        <w:t>) ;</w:t>
      </w:r>
    </w:p>
    <w:p w14:paraId="074447CE" w14:textId="77777777" w:rsidR="00194887" w:rsidRDefault="00C151E4">
      <w:pPr>
        <w:numPr>
          <w:ilvl w:val="0"/>
          <w:numId w:val="7"/>
        </w:numPr>
        <w:tabs>
          <w:tab w:val="left" w:pos="-895"/>
        </w:tabs>
        <w:spacing w:before="56"/>
        <w:ind w:left="0" w:right="210" w:firstLine="0"/>
        <w:jc w:val="both"/>
        <w:rPr>
          <w:color w:val="000000"/>
        </w:rPr>
      </w:pPr>
      <w:r>
        <w:rPr>
          <w:color w:val="000000"/>
        </w:rPr>
        <w:t>Une déclaration indiquant les effectifs moyens annuels du candidat pour chacune des trois dernières années ;</w:t>
      </w:r>
    </w:p>
    <w:p w14:paraId="618356A4" w14:textId="77777777" w:rsidR="00194887" w:rsidRDefault="00C151E4">
      <w:pPr>
        <w:numPr>
          <w:ilvl w:val="0"/>
          <w:numId w:val="7"/>
        </w:numPr>
        <w:tabs>
          <w:tab w:val="left" w:pos="-895"/>
        </w:tabs>
        <w:spacing w:before="56"/>
        <w:ind w:left="0" w:right="210" w:firstLine="0"/>
        <w:jc w:val="both"/>
        <w:rPr>
          <w:color w:val="000000"/>
        </w:rPr>
      </w:pPr>
      <w:r>
        <w:rPr>
          <w:color w:val="000000"/>
        </w:rPr>
        <w:t>Une présentation d'une liste des principaux services effectués au cours des trois dernières années, indiquant le montant, la date et le destinataire public ou privé. Les livraisons et les prestations de services sont prouvées par des attestations du destinataire ou, à défaut, par une déclaration de l'opérateur économique.</w:t>
      </w:r>
    </w:p>
    <w:p w14:paraId="069FC340" w14:textId="77777777" w:rsidR="00194887" w:rsidRDefault="00C151E4">
      <w:pPr>
        <w:numPr>
          <w:ilvl w:val="0"/>
          <w:numId w:val="7"/>
        </w:numPr>
        <w:tabs>
          <w:tab w:val="left" w:pos="-895"/>
        </w:tabs>
        <w:spacing w:before="56"/>
        <w:ind w:left="0" w:right="210" w:firstLine="0"/>
        <w:jc w:val="both"/>
        <w:rPr>
          <w:color w:val="000000"/>
        </w:rPr>
      </w:pPr>
      <w:r>
        <w:rPr>
          <w:color w:val="000000"/>
        </w:rPr>
        <w:t>L’indication des titres d'études et professionnels de l'opérateur économique et/ou des cadres de l'entreprise, et notamment des responsables de prestation de services de même nature que celle du marché.</w:t>
      </w:r>
    </w:p>
    <w:p w14:paraId="3A12106B" w14:textId="77777777" w:rsidR="00194887" w:rsidRDefault="00C151E4">
      <w:pPr>
        <w:numPr>
          <w:ilvl w:val="0"/>
          <w:numId w:val="7"/>
        </w:numPr>
        <w:tabs>
          <w:tab w:val="left" w:pos="-895"/>
        </w:tabs>
        <w:spacing w:before="56"/>
        <w:ind w:left="0" w:right="210" w:firstLine="0"/>
        <w:jc w:val="both"/>
        <w:rPr>
          <w:color w:val="000000"/>
        </w:rPr>
      </w:pPr>
      <w:r>
        <w:rPr>
          <w:color w:val="000000"/>
        </w:rPr>
        <w:t>Un RIB.</w:t>
      </w:r>
    </w:p>
    <w:p w14:paraId="620CAC1D" w14:textId="77777777" w:rsidR="00570130" w:rsidRDefault="00570130">
      <w:pPr>
        <w:numPr>
          <w:ilvl w:val="0"/>
          <w:numId w:val="7"/>
        </w:numPr>
        <w:tabs>
          <w:tab w:val="left" w:pos="-895"/>
        </w:tabs>
        <w:spacing w:before="56"/>
        <w:ind w:left="0" w:right="210" w:firstLine="0"/>
        <w:jc w:val="both"/>
        <w:rPr>
          <w:color w:val="000000"/>
        </w:rPr>
      </w:pPr>
      <w:bookmarkStart w:id="16" w:name="_Hlk120106618"/>
      <w:r>
        <w:rPr>
          <w:color w:val="000000"/>
        </w:rPr>
        <w:t>Une note d’appréciation du projet (compréhension des besoins et des enjeux)</w:t>
      </w:r>
    </w:p>
    <w:p w14:paraId="1B33CD2C" w14:textId="77777777" w:rsidR="00570130" w:rsidRDefault="00D84E8B">
      <w:pPr>
        <w:numPr>
          <w:ilvl w:val="0"/>
          <w:numId w:val="7"/>
        </w:numPr>
        <w:tabs>
          <w:tab w:val="left" w:pos="-895"/>
        </w:tabs>
        <w:spacing w:before="56"/>
        <w:ind w:left="0" w:right="210" w:firstLine="0"/>
        <w:jc w:val="both"/>
        <w:rPr>
          <w:color w:val="000000"/>
        </w:rPr>
      </w:pPr>
      <w:r>
        <w:rPr>
          <w:color w:val="000000"/>
        </w:rPr>
        <w:t xml:space="preserve">Le bordereau des prix unitaires complété et signé par le </w:t>
      </w:r>
      <w:r w:rsidR="0091142D">
        <w:rPr>
          <w:color w:val="000000"/>
        </w:rPr>
        <w:t>candidat</w:t>
      </w:r>
      <w:r>
        <w:rPr>
          <w:color w:val="000000"/>
        </w:rPr>
        <w:t>.</w:t>
      </w:r>
    </w:p>
    <w:p w14:paraId="2D52D565" w14:textId="77777777" w:rsidR="007F077D" w:rsidRPr="009E2039" w:rsidRDefault="007F077D" w:rsidP="007F077D">
      <w:pPr>
        <w:numPr>
          <w:ilvl w:val="0"/>
          <w:numId w:val="7"/>
        </w:numPr>
        <w:tabs>
          <w:tab w:val="left" w:pos="-895"/>
        </w:tabs>
        <w:spacing w:before="56"/>
        <w:ind w:left="0" w:right="210" w:firstLine="0"/>
        <w:jc w:val="both"/>
        <w:rPr>
          <w:color w:val="000000"/>
        </w:rPr>
      </w:pPr>
      <w:bookmarkStart w:id="17" w:name="_Hlk120106633"/>
      <w:bookmarkEnd w:id="16"/>
      <w:r>
        <w:rPr>
          <w:color w:val="000000"/>
        </w:rPr>
        <w:t>L’acte d’engagement signé par le candidat. (Le signataire doit être habilité à engager la société) (</w:t>
      </w:r>
      <w:r>
        <w:rPr>
          <w:b/>
          <w:color w:val="000000"/>
        </w:rPr>
        <w:t>formulaire ATTRI1)</w:t>
      </w:r>
    </w:p>
    <w:p w14:paraId="5DD1574F" w14:textId="77777777" w:rsidR="009E2039" w:rsidRPr="007F077D" w:rsidRDefault="009E2039" w:rsidP="007F077D">
      <w:pPr>
        <w:numPr>
          <w:ilvl w:val="0"/>
          <w:numId w:val="7"/>
        </w:numPr>
        <w:tabs>
          <w:tab w:val="left" w:pos="-895"/>
        </w:tabs>
        <w:spacing w:before="56"/>
        <w:ind w:left="0" w:right="210" w:firstLine="0"/>
        <w:jc w:val="both"/>
        <w:rPr>
          <w:color w:val="000000"/>
        </w:rPr>
      </w:pPr>
      <w:r>
        <w:rPr>
          <w:color w:val="000000"/>
        </w:rPr>
        <w:t>Un état de sous-traitance, si le prestataire y a recours.</w:t>
      </w:r>
    </w:p>
    <w:bookmarkEnd w:id="17"/>
    <w:p w14:paraId="430F66D0" w14:textId="77777777" w:rsidR="00194887" w:rsidRDefault="00194887">
      <w:pPr>
        <w:spacing w:before="10"/>
        <w:rPr>
          <w:color w:val="000000"/>
        </w:rPr>
      </w:pPr>
    </w:p>
    <w:p w14:paraId="40E80FBB" w14:textId="77777777" w:rsidR="00194887" w:rsidRDefault="00C151E4">
      <w:pPr>
        <w:ind w:right="208"/>
        <w:jc w:val="both"/>
        <w:rPr>
          <w:color w:val="000000"/>
        </w:rPr>
      </w:pPr>
      <w:r>
        <w:rPr>
          <w:color w:val="000000"/>
        </w:rPr>
        <w:t xml:space="preserve">Attention : Le candidat auquel il sera envisagé d’attribuer le marché devra produire les justifications préalablement à l’attribution du marché. En cas d’incapacité de produire dans les délais impartis des certificats et attestations susmentionnées, </w:t>
      </w:r>
      <w:r w:rsidR="0091142D">
        <w:rPr>
          <w:color w:val="000000"/>
        </w:rPr>
        <w:t>le marché</w:t>
      </w:r>
      <w:r>
        <w:rPr>
          <w:color w:val="000000"/>
        </w:rPr>
        <w:t xml:space="preserve"> ne pourra être attribué au candidat retenu, et le candidat dont l’offre a été classée en seconde position sera sollicité pour produire les certificats et attestations nécessaires avant que </w:t>
      </w:r>
      <w:r w:rsidR="0091142D">
        <w:rPr>
          <w:color w:val="000000"/>
        </w:rPr>
        <w:t>le marché</w:t>
      </w:r>
      <w:r>
        <w:rPr>
          <w:color w:val="000000"/>
        </w:rPr>
        <w:t xml:space="preserve"> ne lui soit attribué.</w:t>
      </w:r>
    </w:p>
    <w:p w14:paraId="21B04E6E" w14:textId="77777777" w:rsidR="00194887" w:rsidRDefault="00194887">
      <w:pPr>
        <w:spacing w:before="2"/>
        <w:rPr>
          <w:color w:val="000000"/>
        </w:rPr>
      </w:pPr>
    </w:p>
    <w:p w14:paraId="03BD8F1B" w14:textId="77777777" w:rsidR="00194887" w:rsidRDefault="00C151E4">
      <w:pPr>
        <w:ind w:right="209"/>
        <w:jc w:val="both"/>
        <w:rPr>
          <w:color w:val="000000"/>
        </w:rPr>
      </w:pPr>
      <w:r>
        <w:rPr>
          <w:color w:val="000000"/>
        </w:rPr>
        <w:t>En outre si le candidat se présente sous la forme d’un groupement, tous les membres du groupement doivent présenter les pièces exigées dans le dossier de la candidature.</w:t>
      </w:r>
    </w:p>
    <w:p w14:paraId="1A27BAAE" w14:textId="77777777" w:rsidR="0091142D" w:rsidRDefault="0091142D" w:rsidP="0091142D">
      <w:pPr>
        <w:pBdr>
          <w:top w:val="nil"/>
          <w:left w:val="nil"/>
          <w:bottom w:val="nil"/>
          <w:right w:val="nil"/>
          <w:between w:val="nil"/>
        </w:pBdr>
        <w:rPr>
          <w:color w:val="000000"/>
        </w:rPr>
      </w:pPr>
      <w:bookmarkStart w:id="18" w:name="_heading=h.44sinio" w:colFirst="0" w:colLast="0"/>
      <w:bookmarkEnd w:id="18"/>
    </w:p>
    <w:p w14:paraId="01315DB6" w14:textId="77777777" w:rsidR="004030F6" w:rsidRDefault="004030F6" w:rsidP="0091142D">
      <w:pPr>
        <w:pBdr>
          <w:top w:val="nil"/>
          <w:left w:val="nil"/>
          <w:bottom w:val="nil"/>
          <w:right w:val="nil"/>
          <w:between w:val="nil"/>
        </w:pBdr>
        <w:rPr>
          <w:color w:val="000000"/>
        </w:rPr>
      </w:pPr>
    </w:p>
    <w:p w14:paraId="5DE4C0F1" w14:textId="77777777" w:rsidR="00194887" w:rsidRPr="0091142D" w:rsidRDefault="00C151E4" w:rsidP="004030F6">
      <w:pPr>
        <w:pStyle w:val="Paragraphedeliste"/>
        <w:numPr>
          <w:ilvl w:val="0"/>
          <w:numId w:val="14"/>
        </w:numPr>
        <w:pBdr>
          <w:top w:val="nil"/>
          <w:left w:val="nil"/>
          <w:bottom w:val="nil"/>
          <w:right w:val="nil"/>
          <w:between w:val="nil"/>
        </w:pBdr>
        <w:rPr>
          <w:b/>
          <w:color w:val="000000"/>
          <w:u w:val="single"/>
        </w:rPr>
      </w:pPr>
      <w:r w:rsidRPr="0091142D">
        <w:rPr>
          <w:b/>
          <w:color w:val="000000"/>
          <w:u w:val="single"/>
        </w:rPr>
        <w:t>Langue de rédaction des propositions</w:t>
      </w:r>
    </w:p>
    <w:p w14:paraId="2BCAD5BD" w14:textId="77777777" w:rsidR="00A03DAC" w:rsidRPr="00A03DAC" w:rsidRDefault="00A03DAC" w:rsidP="00A03DAC">
      <w:pPr>
        <w:pStyle w:val="Paragraphedeliste"/>
        <w:pBdr>
          <w:top w:val="nil"/>
          <w:left w:val="nil"/>
          <w:bottom w:val="nil"/>
          <w:right w:val="nil"/>
          <w:between w:val="nil"/>
        </w:pBdr>
        <w:ind w:left="555"/>
        <w:rPr>
          <w:b/>
          <w:color w:val="000000"/>
          <w:u w:val="single"/>
        </w:rPr>
      </w:pPr>
    </w:p>
    <w:p w14:paraId="1F768017" w14:textId="77777777" w:rsidR="00194887" w:rsidRDefault="00C151E4">
      <w:pPr>
        <w:tabs>
          <w:tab w:val="left" w:pos="922"/>
        </w:tabs>
        <w:spacing w:before="56"/>
        <w:ind w:right="210"/>
        <w:rPr>
          <w:color w:val="000000"/>
        </w:rPr>
      </w:pPr>
      <w:r>
        <w:rPr>
          <w:color w:val="000000"/>
        </w:rPr>
        <w:t>Les offres seront entièrement rédigées en langue française ainsi que les documents les accompagnants. En cas d’utilisation d’une autre langue, une traduction devra accompagner les documents.</w:t>
      </w:r>
    </w:p>
    <w:p w14:paraId="201CB053" w14:textId="77777777" w:rsidR="00194887" w:rsidRDefault="00194887">
      <w:pPr>
        <w:tabs>
          <w:tab w:val="left" w:pos="922"/>
        </w:tabs>
        <w:spacing w:before="56"/>
        <w:ind w:right="210" w:hanging="360"/>
        <w:rPr>
          <w:color w:val="000000"/>
        </w:rPr>
      </w:pPr>
    </w:p>
    <w:p w14:paraId="07A51BF3" w14:textId="77777777" w:rsidR="001A23D8" w:rsidRDefault="001A23D8">
      <w:pPr>
        <w:tabs>
          <w:tab w:val="left" w:pos="922"/>
        </w:tabs>
        <w:spacing w:before="56"/>
        <w:ind w:right="210" w:hanging="360"/>
        <w:rPr>
          <w:color w:val="000000"/>
        </w:rPr>
      </w:pPr>
    </w:p>
    <w:p w14:paraId="642DEACE" w14:textId="77777777" w:rsidR="00194887" w:rsidRPr="0091142D" w:rsidRDefault="00C151E4" w:rsidP="004030F6">
      <w:pPr>
        <w:pStyle w:val="Paragraphedeliste"/>
        <w:numPr>
          <w:ilvl w:val="0"/>
          <w:numId w:val="14"/>
        </w:numPr>
        <w:pBdr>
          <w:top w:val="nil"/>
          <w:left w:val="nil"/>
          <w:bottom w:val="nil"/>
          <w:right w:val="nil"/>
          <w:between w:val="nil"/>
        </w:pBdr>
        <w:rPr>
          <w:b/>
          <w:color w:val="000000"/>
          <w:u w:val="single"/>
        </w:rPr>
      </w:pPr>
      <w:bookmarkStart w:id="19" w:name="_heading=h.2jxsxqh" w:colFirst="0" w:colLast="0"/>
      <w:bookmarkEnd w:id="19"/>
      <w:r w:rsidRPr="0091142D">
        <w:rPr>
          <w:b/>
          <w:color w:val="000000"/>
          <w:u w:val="single"/>
        </w:rPr>
        <w:t>Unité monétaire</w:t>
      </w:r>
    </w:p>
    <w:p w14:paraId="5095BD26" w14:textId="77777777" w:rsidR="00A03DAC" w:rsidRPr="00A03DAC" w:rsidRDefault="00A03DAC" w:rsidP="00A03DAC">
      <w:pPr>
        <w:pStyle w:val="Paragraphedeliste"/>
        <w:pBdr>
          <w:top w:val="nil"/>
          <w:left w:val="nil"/>
          <w:bottom w:val="nil"/>
          <w:right w:val="nil"/>
          <w:between w:val="nil"/>
        </w:pBdr>
        <w:ind w:left="555"/>
        <w:rPr>
          <w:b/>
          <w:color w:val="000000"/>
          <w:u w:val="single"/>
        </w:rPr>
      </w:pPr>
    </w:p>
    <w:p w14:paraId="1B862C41" w14:textId="77777777" w:rsidR="00194887" w:rsidRDefault="00C151E4">
      <w:pPr>
        <w:spacing w:before="1"/>
        <w:ind w:left="212"/>
        <w:rPr>
          <w:color w:val="000000"/>
        </w:rPr>
      </w:pPr>
      <w:r>
        <w:rPr>
          <w:color w:val="000000"/>
        </w:rPr>
        <w:t>Le pouvoir adjudicateur conclura le marché dans l’unité monétaire suivante : euro.</w:t>
      </w:r>
    </w:p>
    <w:p w14:paraId="055C7E1A" w14:textId="77777777" w:rsidR="00194887" w:rsidRDefault="00194887">
      <w:pPr>
        <w:pBdr>
          <w:top w:val="nil"/>
          <w:left w:val="nil"/>
          <w:bottom w:val="nil"/>
          <w:right w:val="nil"/>
          <w:between w:val="nil"/>
        </w:pBdr>
        <w:rPr>
          <w:rFonts w:ascii="Liberation Serif" w:eastAsia="Liberation Serif" w:hAnsi="Liberation Serif" w:cs="Liberation Serif"/>
          <w:color w:val="000000"/>
        </w:rPr>
      </w:pPr>
    </w:p>
    <w:p w14:paraId="485E5FAC" w14:textId="77777777" w:rsidR="00661BC2" w:rsidRDefault="00661BC2">
      <w:pPr>
        <w:pBdr>
          <w:top w:val="nil"/>
          <w:left w:val="nil"/>
          <w:bottom w:val="nil"/>
          <w:right w:val="nil"/>
          <w:between w:val="nil"/>
        </w:pBdr>
        <w:rPr>
          <w:rFonts w:ascii="Liberation Serif" w:eastAsia="Liberation Serif" w:hAnsi="Liberation Serif" w:cs="Liberation Serif"/>
          <w:color w:val="000000"/>
        </w:rPr>
      </w:pPr>
    </w:p>
    <w:p w14:paraId="6789141C" w14:textId="77777777" w:rsidR="003A7378" w:rsidRPr="003A7378" w:rsidRDefault="00C151E4" w:rsidP="004030F6">
      <w:pPr>
        <w:pStyle w:val="Paragraphedeliste"/>
        <w:numPr>
          <w:ilvl w:val="0"/>
          <w:numId w:val="14"/>
        </w:numPr>
        <w:tabs>
          <w:tab w:val="left" w:pos="922"/>
        </w:tabs>
        <w:spacing w:before="56"/>
        <w:ind w:right="210"/>
        <w:rPr>
          <w:b/>
          <w:color w:val="000000"/>
          <w:u w:val="single"/>
        </w:rPr>
      </w:pPr>
      <w:r w:rsidRPr="003A7378">
        <w:rPr>
          <w:b/>
          <w:u w:val="single"/>
        </w:rPr>
        <w:t xml:space="preserve">Examens </w:t>
      </w:r>
      <w:r w:rsidRPr="003A7378">
        <w:rPr>
          <w:b/>
          <w:color w:val="000000"/>
          <w:u w:val="single"/>
        </w:rPr>
        <w:t>des offres</w:t>
      </w:r>
      <w:r w:rsidR="007F077D" w:rsidRPr="003A7378">
        <w:rPr>
          <w:b/>
          <w:color w:val="000000"/>
          <w:u w:val="single"/>
        </w:rPr>
        <w:t xml:space="preserve"> et pondération</w:t>
      </w:r>
    </w:p>
    <w:p w14:paraId="10D57315" w14:textId="77777777" w:rsidR="00194887" w:rsidRDefault="00194887">
      <w:pPr>
        <w:spacing w:before="9"/>
        <w:rPr>
          <w:b/>
          <w:color w:val="000000"/>
          <w:sz w:val="14"/>
          <w:szCs w:val="14"/>
        </w:rPr>
      </w:pPr>
      <w:bookmarkStart w:id="20" w:name="_heading=h.z337ya" w:colFirst="0" w:colLast="0"/>
      <w:bookmarkEnd w:id="20"/>
    </w:p>
    <w:p w14:paraId="67AC983C" w14:textId="77777777" w:rsidR="00194887" w:rsidRDefault="00C151E4">
      <w:pPr>
        <w:spacing w:before="56"/>
        <w:ind w:left="212"/>
        <w:rPr>
          <w:color w:val="000000"/>
        </w:rPr>
      </w:pPr>
      <w:r>
        <w:rPr>
          <w:color w:val="000000"/>
        </w:rPr>
        <w:t>Le pouvoir adjudicateur éliminera les offres non conformes à l’objet du marché et au règlement de consultation.</w:t>
      </w:r>
    </w:p>
    <w:p w14:paraId="63592B0F" w14:textId="77777777" w:rsidR="00194887" w:rsidRDefault="00C151E4">
      <w:pPr>
        <w:spacing w:before="1"/>
        <w:ind w:left="212" w:right="419"/>
        <w:rPr>
          <w:color w:val="000000"/>
        </w:rPr>
      </w:pPr>
      <w:r>
        <w:rPr>
          <w:color w:val="000000"/>
        </w:rPr>
        <w:t>Les offres seront évaluées, pour retenir l’offre économiquement la plus avantageuse. Le pouvoir adjudicateur prendra en compte les critères de jugement suivants :</w:t>
      </w:r>
    </w:p>
    <w:p w14:paraId="6ED5C28D" w14:textId="77777777" w:rsidR="00194887" w:rsidRDefault="00194887" w:rsidP="003A7378">
      <w:pPr>
        <w:spacing w:before="1"/>
        <w:ind w:right="419"/>
        <w:rPr>
          <w:color w:val="000000"/>
        </w:rPr>
      </w:pPr>
    </w:p>
    <w:p w14:paraId="19958ED7" w14:textId="77777777" w:rsidR="00194887" w:rsidRDefault="00194887">
      <w:pPr>
        <w:spacing w:before="1"/>
        <w:ind w:left="212" w:right="419"/>
        <w:rPr>
          <w:color w:val="000000"/>
        </w:rPr>
      </w:pPr>
    </w:p>
    <w:tbl>
      <w:tblPr>
        <w:tblStyle w:val="a3"/>
        <w:tblW w:w="10010" w:type="dxa"/>
        <w:tblInd w:w="-35" w:type="dxa"/>
        <w:tblBorders>
          <w:top w:val="single" w:sz="4" w:space="0" w:color="000001"/>
          <w:left w:val="single" w:sz="4" w:space="0" w:color="000001"/>
          <w:bottom w:val="single" w:sz="18" w:space="0" w:color="000001"/>
          <w:right w:val="single" w:sz="4" w:space="0" w:color="000001"/>
          <w:insideH w:val="single" w:sz="18" w:space="0" w:color="000001"/>
          <w:insideV w:val="single" w:sz="4" w:space="0" w:color="000001"/>
        </w:tblBorders>
        <w:tblLayout w:type="fixed"/>
        <w:tblLook w:val="0000" w:firstRow="0" w:lastRow="0" w:firstColumn="0" w:lastColumn="0" w:noHBand="0" w:noVBand="0"/>
      </w:tblPr>
      <w:tblGrid>
        <w:gridCol w:w="3574"/>
        <w:gridCol w:w="4671"/>
        <w:gridCol w:w="1765"/>
      </w:tblGrid>
      <w:tr w:rsidR="00194887" w14:paraId="3AE007E6" w14:textId="77777777" w:rsidTr="00A612A0">
        <w:trPr>
          <w:trHeight w:val="514"/>
        </w:trPr>
        <w:tc>
          <w:tcPr>
            <w:tcW w:w="3574" w:type="dxa"/>
            <w:tcBorders>
              <w:top w:val="single" w:sz="4" w:space="0" w:color="000001"/>
              <w:left w:val="single" w:sz="4" w:space="0" w:color="000001"/>
              <w:bottom w:val="single" w:sz="18" w:space="0" w:color="000001"/>
              <w:right w:val="single" w:sz="4" w:space="0" w:color="000001"/>
            </w:tcBorders>
            <w:shd w:val="clear" w:color="auto" w:fill="DFDFDF"/>
          </w:tcPr>
          <w:p w14:paraId="19958C13" w14:textId="77777777" w:rsidR="00194887" w:rsidRDefault="00C151E4">
            <w:pPr>
              <w:spacing w:before="119"/>
              <w:ind w:left="167"/>
              <w:rPr>
                <w:b/>
                <w:color w:val="000000"/>
              </w:rPr>
            </w:pPr>
            <w:r>
              <w:rPr>
                <w:b/>
                <w:color w:val="000000"/>
              </w:rPr>
              <w:t>Nature du critère</w:t>
            </w:r>
          </w:p>
        </w:tc>
        <w:tc>
          <w:tcPr>
            <w:tcW w:w="4671" w:type="dxa"/>
            <w:tcBorders>
              <w:top w:val="single" w:sz="4" w:space="0" w:color="000001"/>
              <w:left w:val="single" w:sz="4" w:space="0" w:color="000001"/>
              <w:bottom w:val="single" w:sz="18" w:space="0" w:color="000001"/>
              <w:right w:val="single" w:sz="4" w:space="0" w:color="000001"/>
            </w:tcBorders>
            <w:shd w:val="clear" w:color="auto" w:fill="auto"/>
          </w:tcPr>
          <w:p w14:paraId="192B70B3" w14:textId="77777777" w:rsidR="00194887" w:rsidRDefault="00C151E4">
            <w:pPr>
              <w:spacing w:before="119"/>
              <w:ind w:left="1648" w:right="1639"/>
              <w:jc w:val="center"/>
              <w:rPr>
                <w:b/>
                <w:color w:val="000000"/>
              </w:rPr>
            </w:pPr>
            <w:r>
              <w:rPr>
                <w:b/>
                <w:color w:val="000000"/>
              </w:rPr>
              <w:t>Sous critères</w:t>
            </w:r>
          </w:p>
        </w:tc>
        <w:tc>
          <w:tcPr>
            <w:tcW w:w="1765" w:type="dxa"/>
            <w:tcBorders>
              <w:top w:val="single" w:sz="4" w:space="0" w:color="000001"/>
              <w:left w:val="single" w:sz="4" w:space="0" w:color="000001"/>
              <w:bottom w:val="single" w:sz="18" w:space="0" w:color="000001"/>
              <w:right w:val="single" w:sz="4" w:space="0" w:color="000001"/>
            </w:tcBorders>
            <w:shd w:val="clear" w:color="auto" w:fill="E6E6E6"/>
          </w:tcPr>
          <w:p w14:paraId="328F348E" w14:textId="77777777" w:rsidR="00194887" w:rsidRDefault="00C151E4">
            <w:pPr>
              <w:spacing w:before="119"/>
              <w:ind w:left="218" w:right="207"/>
              <w:jc w:val="center"/>
              <w:rPr>
                <w:b/>
                <w:color w:val="000000"/>
              </w:rPr>
            </w:pPr>
            <w:r>
              <w:rPr>
                <w:b/>
                <w:color w:val="000000"/>
              </w:rPr>
              <w:t>Note</w:t>
            </w:r>
          </w:p>
        </w:tc>
      </w:tr>
      <w:tr w:rsidR="00194887" w14:paraId="7B69FBFD" w14:textId="77777777" w:rsidTr="00A612A0">
        <w:trPr>
          <w:trHeight w:val="788"/>
        </w:trPr>
        <w:tc>
          <w:tcPr>
            <w:tcW w:w="3574" w:type="dxa"/>
            <w:tcBorders>
              <w:top w:val="single" w:sz="18" w:space="0" w:color="000001"/>
              <w:left w:val="single" w:sz="4" w:space="0" w:color="000001"/>
              <w:bottom w:val="single" w:sz="4" w:space="0" w:color="000001"/>
              <w:right w:val="single" w:sz="4" w:space="0" w:color="000001"/>
            </w:tcBorders>
            <w:shd w:val="clear" w:color="auto" w:fill="DFDFDF"/>
          </w:tcPr>
          <w:p w14:paraId="3F9BD401" w14:textId="77777777" w:rsidR="00194887" w:rsidRPr="00A612A0" w:rsidRDefault="00194887"/>
          <w:p w14:paraId="5820EED9" w14:textId="77777777" w:rsidR="00194887" w:rsidRPr="00A612A0" w:rsidRDefault="00C151E4" w:rsidP="00A612A0">
            <w:pPr>
              <w:rPr>
                <w:b/>
              </w:rPr>
            </w:pPr>
            <w:r w:rsidRPr="00A612A0">
              <w:rPr>
                <w:b/>
                <w:sz w:val="20"/>
              </w:rPr>
              <w:t>Critère technique</w:t>
            </w:r>
            <w:r w:rsidR="00A612A0" w:rsidRPr="00A612A0">
              <w:rPr>
                <w:b/>
                <w:sz w:val="20"/>
              </w:rPr>
              <w:t xml:space="preserve"> </w:t>
            </w:r>
            <w:r w:rsidRPr="00A612A0">
              <w:rPr>
                <w:b/>
                <w:sz w:val="20"/>
              </w:rPr>
              <w:t>1</w:t>
            </w:r>
          </w:p>
        </w:tc>
        <w:tc>
          <w:tcPr>
            <w:tcW w:w="4671" w:type="dxa"/>
            <w:tcBorders>
              <w:top w:val="single" w:sz="4" w:space="0" w:color="000001"/>
              <w:left w:val="single" w:sz="4" w:space="0" w:color="000001"/>
              <w:bottom w:val="single" w:sz="4" w:space="0" w:color="000001"/>
              <w:right w:val="single" w:sz="4" w:space="0" w:color="000001"/>
            </w:tcBorders>
            <w:shd w:val="clear" w:color="auto" w:fill="auto"/>
          </w:tcPr>
          <w:p w14:paraId="0277D56D" w14:textId="77777777" w:rsidR="00194887" w:rsidRPr="00A612A0" w:rsidRDefault="007618E2">
            <w:pPr>
              <w:shd w:val="clear" w:color="auto" w:fill="FFFFFF"/>
              <w:spacing w:before="240" w:line="276" w:lineRule="auto"/>
            </w:pPr>
            <w:r>
              <w:t>Adéquation avec la demande</w:t>
            </w:r>
          </w:p>
        </w:tc>
        <w:tc>
          <w:tcPr>
            <w:tcW w:w="1765" w:type="dxa"/>
            <w:tcBorders>
              <w:top w:val="single" w:sz="4" w:space="0" w:color="000001"/>
              <w:left w:val="single" w:sz="4" w:space="0" w:color="000001"/>
              <w:bottom w:val="single" w:sz="4" w:space="0" w:color="000001"/>
              <w:right w:val="single" w:sz="4" w:space="0" w:color="000001"/>
            </w:tcBorders>
            <w:shd w:val="clear" w:color="auto" w:fill="E6E6E6"/>
          </w:tcPr>
          <w:p w14:paraId="4A435ADD" w14:textId="77777777" w:rsidR="00194887" w:rsidRPr="00A612A0" w:rsidRDefault="00194887">
            <w:pPr>
              <w:spacing w:before="9"/>
              <w:rPr>
                <w:color w:val="000000"/>
              </w:rPr>
            </w:pPr>
          </w:p>
          <w:p w14:paraId="1501A6D5" w14:textId="77777777" w:rsidR="00194887" w:rsidRPr="00A612A0" w:rsidRDefault="007618E2">
            <w:pPr>
              <w:ind w:left="216" w:right="207"/>
              <w:jc w:val="center"/>
            </w:pPr>
            <w:r>
              <w:t>25</w:t>
            </w:r>
          </w:p>
        </w:tc>
      </w:tr>
      <w:tr w:rsidR="00194887" w14:paraId="20E7DADB" w14:textId="77777777" w:rsidTr="00A612A0">
        <w:trPr>
          <w:trHeight w:val="781"/>
        </w:trPr>
        <w:tc>
          <w:tcPr>
            <w:tcW w:w="3574" w:type="dxa"/>
            <w:tcBorders>
              <w:top w:val="single" w:sz="4" w:space="0" w:color="000001"/>
              <w:left w:val="single" w:sz="4" w:space="0" w:color="000001"/>
              <w:bottom w:val="single" w:sz="24" w:space="0" w:color="000001"/>
              <w:right w:val="single" w:sz="4" w:space="0" w:color="000001"/>
            </w:tcBorders>
            <w:shd w:val="clear" w:color="auto" w:fill="BEBEBE"/>
          </w:tcPr>
          <w:p w14:paraId="2BF5051C" w14:textId="77777777" w:rsidR="00194887" w:rsidRPr="00A612A0" w:rsidRDefault="00C151E4" w:rsidP="00A612A0">
            <w:r w:rsidRPr="00A612A0">
              <w:rPr>
                <w:b/>
                <w:sz w:val="20"/>
              </w:rPr>
              <w:t>Critère technique 2</w:t>
            </w:r>
            <w:r w:rsidRPr="00A612A0">
              <w:rPr>
                <w:b/>
                <w:color w:val="000000"/>
                <w:sz w:val="22"/>
              </w:rPr>
              <w:t xml:space="preserve"> </w:t>
            </w:r>
          </w:p>
        </w:tc>
        <w:tc>
          <w:tcPr>
            <w:tcW w:w="4671" w:type="dxa"/>
            <w:tcBorders>
              <w:top w:val="single" w:sz="4" w:space="0" w:color="000001"/>
              <w:left w:val="single" w:sz="4" w:space="0" w:color="000001"/>
              <w:bottom w:val="single" w:sz="24" w:space="0" w:color="000001"/>
              <w:right w:val="single" w:sz="4" w:space="0" w:color="000001"/>
            </w:tcBorders>
            <w:shd w:val="clear" w:color="auto" w:fill="auto"/>
          </w:tcPr>
          <w:p w14:paraId="71D1C1BC" w14:textId="77777777" w:rsidR="00194887" w:rsidRPr="00A612A0" w:rsidRDefault="007618E2" w:rsidP="003A7378">
            <w:pPr>
              <w:shd w:val="clear" w:color="auto" w:fill="FFFFFF"/>
              <w:tabs>
                <w:tab w:val="left" w:pos="2515"/>
                <w:tab w:val="left" w:pos="4168"/>
              </w:tabs>
              <w:spacing w:before="240" w:line="276" w:lineRule="auto"/>
              <w:jc w:val="both"/>
            </w:pPr>
            <w:r>
              <w:t>Expérience et références du candidat</w:t>
            </w:r>
          </w:p>
        </w:tc>
        <w:tc>
          <w:tcPr>
            <w:tcW w:w="1765" w:type="dxa"/>
            <w:tcBorders>
              <w:top w:val="single" w:sz="4" w:space="0" w:color="000001"/>
              <w:left w:val="single" w:sz="4" w:space="0" w:color="000001"/>
              <w:bottom w:val="single" w:sz="24" w:space="0" w:color="000001"/>
              <w:right w:val="single" w:sz="4" w:space="0" w:color="000001"/>
            </w:tcBorders>
            <w:shd w:val="clear" w:color="auto" w:fill="D9D9D9"/>
          </w:tcPr>
          <w:p w14:paraId="17023CD7" w14:textId="77777777" w:rsidR="00194887" w:rsidRPr="00A612A0" w:rsidRDefault="00194887">
            <w:pPr>
              <w:spacing w:before="9"/>
              <w:rPr>
                <w:color w:val="000000"/>
              </w:rPr>
            </w:pPr>
          </w:p>
          <w:p w14:paraId="4BE4BB07" w14:textId="77777777" w:rsidR="00194887" w:rsidRPr="00A612A0" w:rsidRDefault="007618E2">
            <w:pPr>
              <w:spacing w:before="1"/>
              <w:ind w:left="217" w:right="207"/>
              <w:jc w:val="center"/>
            </w:pPr>
            <w:r>
              <w:t>15</w:t>
            </w:r>
          </w:p>
        </w:tc>
      </w:tr>
      <w:tr w:rsidR="00194887" w14:paraId="4CAB6118" w14:textId="77777777" w:rsidTr="00A612A0">
        <w:trPr>
          <w:trHeight w:val="785"/>
        </w:trPr>
        <w:tc>
          <w:tcPr>
            <w:tcW w:w="3574" w:type="dxa"/>
            <w:tcBorders>
              <w:top w:val="single" w:sz="4" w:space="0" w:color="000001"/>
              <w:left w:val="single" w:sz="4" w:space="0" w:color="000001"/>
              <w:bottom w:val="single" w:sz="36" w:space="0" w:color="000001"/>
              <w:right w:val="single" w:sz="4" w:space="0" w:color="000001"/>
            </w:tcBorders>
            <w:shd w:val="clear" w:color="auto" w:fill="DFDFDF"/>
          </w:tcPr>
          <w:p w14:paraId="79C3B8D4" w14:textId="77777777" w:rsidR="00194887" w:rsidRPr="00A612A0" w:rsidRDefault="00C151E4" w:rsidP="00A612A0">
            <w:pPr>
              <w:rPr>
                <w:b/>
                <w:sz w:val="20"/>
              </w:rPr>
            </w:pPr>
            <w:r w:rsidRPr="00A612A0">
              <w:rPr>
                <w:b/>
                <w:sz w:val="20"/>
              </w:rPr>
              <w:t>Critère financier</w:t>
            </w:r>
          </w:p>
          <w:p w14:paraId="6496A2D6" w14:textId="77777777" w:rsidR="00194887" w:rsidRPr="00A612A0" w:rsidRDefault="00194887">
            <w:pPr>
              <w:spacing w:before="119"/>
              <w:ind w:left="842" w:right="116" w:hanging="701"/>
              <w:jc w:val="center"/>
            </w:pPr>
          </w:p>
        </w:tc>
        <w:tc>
          <w:tcPr>
            <w:tcW w:w="4671" w:type="dxa"/>
            <w:tcBorders>
              <w:top w:val="single" w:sz="4" w:space="0" w:color="000001"/>
              <w:left w:val="single" w:sz="4" w:space="0" w:color="000001"/>
              <w:bottom w:val="single" w:sz="36" w:space="0" w:color="000001"/>
              <w:right w:val="single" w:sz="4" w:space="0" w:color="000001"/>
            </w:tcBorders>
            <w:shd w:val="clear" w:color="auto" w:fill="auto"/>
          </w:tcPr>
          <w:p w14:paraId="01F1D552" w14:textId="77777777" w:rsidR="00194887" w:rsidRPr="00A612A0" w:rsidRDefault="00C151E4">
            <w:pPr>
              <w:spacing w:before="121"/>
              <w:ind w:left="105"/>
              <w:rPr>
                <w:color w:val="000000"/>
              </w:rPr>
            </w:pPr>
            <w:r w:rsidRPr="00A612A0">
              <w:rPr>
                <w:color w:val="000000"/>
              </w:rPr>
              <w:t>Prix</w:t>
            </w:r>
          </w:p>
        </w:tc>
        <w:tc>
          <w:tcPr>
            <w:tcW w:w="1765" w:type="dxa"/>
            <w:tcBorders>
              <w:top w:val="single" w:sz="4" w:space="0" w:color="000001"/>
              <w:left w:val="single" w:sz="4" w:space="0" w:color="000001"/>
              <w:bottom w:val="single" w:sz="36" w:space="0" w:color="000001"/>
              <w:right w:val="single" w:sz="4" w:space="0" w:color="000001"/>
            </w:tcBorders>
            <w:shd w:val="clear" w:color="auto" w:fill="E6E6E6"/>
          </w:tcPr>
          <w:p w14:paraId="35915BA5" w14:textId="77777777" w:rsidR="00194887" w:rsidRPr="00A612A0" w:rsidRDefault="00194887">
            <w:pPr>
              <w:spacing w:before="9"/>
              <w:rPr>
                <w:color w:val="000000"/>
              </w:rPr>
            </w:pPr>
          </w:p>
          <w:p w14:paraId="24758CE8" w14:textId="77777777" w:rsidR="00194887" w:rsidRPr="00A612A0" w:rsidRDefault="007618E2">
            <w:pPr>
              <w:ind w:left="216" w:right="207"/>
              <w:jc w:val="center"/>
            </w:pPr>
            <w:r>
              <w:t>60</w:t>
            </w:r>
          </w:p>
        </w:tc>
      </w:tr>
      <w:tr w:rsidR="00194887" w14:paraId="1AEB327C" w14:textId="77777777" w:rsidTr="00A612A0">
        <w:trPr>
          <w:trHeight w:val="269"/>
        </w:trPr>
        <w:tc>
          <w:tcPr>
            <w:tcW w:w="8245" w:type="dxa"/>
            <w:gridSpan w:val="2"/>
            <w:tcBorders>
              <w:top w:val="single" w:sz="36" w:space="0" w:color="000001"/>
              <w:left w:val="single" w:sz="4" w:space="0" w:color="000001"/>
              <w:bottom w:val="single" w:sz="4" w:space="0" w:color="000001"/>
              <w:right w:val="single" w:sz="4" w:space="0" w:color="000001"/>
            </w:tcBorders>
            <w:shd w:val="clear" w:color="auto" w:fill="auto"/>
          </w:tcPr>
          <w:p w14:paraId="65B8B420" w14:textId="77777777" w:rsidR="00194887" w:rsidRDefault="00C151E4">
            <w:pPr>
              <w:spacing w:line="242" w:lineRule="auto"/>
              <w:ind w:left="2715" w:right="2705"/>
              <w:jc w:val="center"/>
              <w:rPr>
                <w:b/>
                <w:color w:val="000000"/>
                <w:u w:val="single"/>
              </w:rPr>
            </w:pPr>
            <w:r>
              <w:rPr>
                <w:b/>
                <w:color w:val="000000"/>
                <w:u w:val="single"/>
              </w:rPr>
              <w:t xml:space="preserve">T O T A L  </w:t>
            </w:r>
          </w:p>
        </w:tc>
        <w:tc>
          <w:tcPr>
            <w:tcW w:w="1765" w:type="dxa"/>
            <w:tcBorders>
              <w:top w:val="single" w:sz="36" w:space="0" w:color="000001"/>
              <w:left w:val="single" w:sz="4" w:space="0" w:color="000001"/>
              <w:bottom w:val="single" w:sz="4" w:space="0" w:color="000001"/>
              <w:right w:val="single" w:sz="4" w:space="0" w:color="000001"/>
            </w:tcBorders>
            <w:shd w:val="clear" w:color="auto" w:fill="auto"/>
          </w:tcPr>
          <w:p w14:paraId="79E32ABB" w14:textId="77777777" w:rsidR="00194887" w:rsidRDefault="00C151E4">
            <w:pPr>
              <w:spacing w:line="242" w:lineRule="auto"/>
              <w:ind w:left="216" w:right="207"/>
              <w:jc w:val="center"/>
              <w:rPr>
                <w:b/>
                <w:color w:val="000000"/>
              </w:rPr>
            </w:pPr>
            <w:r>
              <w:rPr>
                <w:b/>
                <w:color w:val="000000"/>
              </w:rPr>
              <w:t>100</w:t>
            </w:r>
          </w:p>
        </w:tc>
      </w:tr>
    </w:tbl>
    <w:p w14:paraId="4BFC7DC3" w14:textId="77777777" w:rsidR="00194887" w:rsidRDefault="00194887">
      <w:pPr>
        <w:spacing w:before="1"/>
        <w:rPr>
          <w:color w:val="000000"/>
        </w:rPr>
      </w:pPr>
    </w:p>
    <w:p w14:paraId="30717CF4" w14:textId="77777777" w:rsidR="00194887" w:rsidRDefault="00194887">
      <w:pPr>
        <w:rPr>
          <w:color w:val="000000"/>
        </w:rPr>
      </w:pPr>
    </w:p>
    <w:p w14:paraId="0CD371B0" w14:textId="77777777" w:rsidR="00194887" w:rsidRDefault="00194887">
      <w:pPr>
        <w:rPr>
          <w:color w:val="000000"/>
        </w:rPr>
      </w:pPr>
    </w:p>
    <w:p w14:paraId="26BD26A2" w14:textId="77777777" w:rsidR="00194887" w:rsidRDefault="00C151E4">
      <w:pPr>
        <w:rPr>
          <w:color w:val="000000"/>
        </w:rPr>
      </w:pPr>
      <w:r>
        <w:rPr>
          <w:color w:val="000000"/>
        </w:rPr>
        <w:t>Méthode de notation du critère financier appliquée sur des offres comparables en tout point</w:t>
      </w:r>
      <w:r w:rsidR="00897A3B">
        <w:rPr>
          <w:color w:val="000000"/>
        </w:rPr>
        <w:t xml:space="preserve"> </w:t>
      </w:r>
      <w:r>
        <w:rPr>
          <w:color w:val="000000"/>
        </w:rPr>
        <w:t>:</w:t>
      </w:r>
    </w:p>
    <w:p w14:paraId="417FE972" w14:textId="77777777" w:rsidR="00194887" w:rsidRDefault="00194887">
      <w:pPr>
        <w:spacing w:before="5"/>
        <w:rPr>
          <w:color w:val="000000"/>
          <w:sz w:val="25"/>
          <w:szCs w:val="25"/>
        </w:rPr>
      </w:pPr>
    </w:p>
    <w:tbl>
      <w:tblPr>
        <w:tblStyle w:val="a4"/>
        <w:tblW w:w="8115" w:type="dxa"/>
        <w:tblInd w:w="40" w:type="dxa"/>
        <w:tblLayout w:type="fixed"/>
        <w:tblLook w:val="0000" w:firstRow="0" w:lastRow="0" w:firstColumn="0" w:lastColumn="0" w:noHBand="0" w:noVBand="0"/>
      </w:tblPr>
      <w:tblGrid>
        <w:gridCol w:w="6306"/>
        <w:gridCol w:w="1809"/>
      </w:tblGrid>
      <w:tr w:rsidR="00194887" w14:paraId="312C3EDD" w14:textId="77777777">
        <w:trPr>
          <w:trHeight w:val="200"/>
        </w:trPr>
        <w:tc>
          <w:tcPr>
            <w:tcW w:w="6306" w:type="dxa"/>
            <w:shd w:val="clear" w:color="auto" w:fill="auto"/>
          </w:tcPr>
          <w:p w14:paraId="632B9706" w14:textId="77777777" w:rsidR="00194887" w:rsidRDefault="00C151E4">
            <w:pPr>
              <w:spacing w:line="180" w:lineRule="auto"/>
              <w:ind w:left="3285"/>
              <w:rPr>
                <w:i/>
                <w:color w:val="000000"/>
              </w:rPr>
            </w:pPr>
            <w:r>
              <w:rPr>
                <w:i/>
                <w:color w:val="000000"/>
              </w:rPr>
              <w:t>Prix de l’offre du moins disant</w:t>
            </w:r>
          </w:p>
        </w:tc>
        <w:tc>
          <w:tcPr>
            <w:tcW w:w="1809" w:type="dxa"/>
            <w:vMerge w:val="restart"/>
            <w:shd w:val="clear" w:color="auto" w:fill="auto"/>
          </w:tcPr>
          <w:p w14:paraId="1A4DAE81" w14:textId="77777777" w:rsidR="00194887" w:rsidRDefault="00C151E4">
            <w:pPr>
              <w:spacing w:before="6" w:line="230" w:lineRule="auto"/>
              <w:ind w:left="244" w:right="-25"/>
              <w:rPr>
                <w:i/>
                <w:color w:val="000000"/>
              </w:rPr>
            </w:pPr>
            <w:r>
              <w:rPr>
                <w:i/>
                <w:color w:val="000000"/>
              </w:rPr>
              <w:t>X coefficient de pondération</w:t>
            </w:r>
          </w:p>
        </w:tc>
      </w:tr>
      <w:tr w:rsidR="00194887" w14:paraId="5F4E184E" w14:textId="77777777">
        <w:trPr>
          <w:trHeight w:val="179"/>
        </w:trPr>
        <w:tc>
          <w:tcPr>
            <w:tcW w:w="6306" w:type="dxa"/>
            <w:shd w:val="clear" w:color="auto" w:fill="auto"/>
          </w:tcPr>
          <w:p w14:paraId="09748060" w14:textId="77777777" w:rsidR="00194887" w:rsidRDefault="00C151E4">
            <w:pPr>
              <w:spacing w:line="156" w:lineRule="auto"/>
              <w:ind w:left="200"/>
              <w:rPr>
                <w:i/>
                <w:color w:val="000000"/>
              </w:rPr>
            </w:pPr>
            <w:r>
              <w:rPr>
                <w:i/>
                <w:color w:val="000000"/>
              </w:rPr>
              <w:t>Note du prix du candidat =</w:t>
            </w:r>
          </w:p>
          <w:p w14:paraId="556D9F6B" w14:textId="77777777" w:rsidR="00194887" w:rsidRDefault="00C151E4">
            <w:pPr>
              <w:ind w:left="3160"/>
              <w:rPr>
                <w:i/>
                <w:color w:val="000000"/>
              </w:rPr>
            </w:pPr>
            <w:r>
              <w:rPr>
                <w:i/>
                <w:color w:val="000000"/>
              </w:rPr>
              <w:t>Prix de l’offre de la société notée</w:t>
            </w:r>
          </w:p>
        </w:tc>
        <w:tc>
          <w:tcPr>
            <w:tcW w:w="1809" w:type="dxa"/>
            <w:vMerge/>
            <w:shd w:val="clear" w:color="auto" w:fill="auto"/>
          </w:tcPr>
          <w:p w14:paraId="69899CB7" w14:textId="77777777" w:rsidR="00194887" w:rsidRDefault="00194887">
            <w:pPr>
              <w:widowControl w:val="0"/>
              <w:pBdr>
                <w:top w:val="nil"/>
                <w:left w:val="nil"/>
                <w:bottom w:val="nil"/>
                <w:right w:val="nil"/>
                <w:between w:val="nil"/>
              </w:pBdr>
              <w:spacing w:line="276" w:lineRule="auto"/>
              <w:rPr>
                <w:i/>
                <w:color w:val="000000"/>
              </w:rPr>
            </w:pPr>
          </w:p>
        </w:tc>
      </w:tr>
      <w:tr w:rsidR="00194887" w14:paraId="31BBDE01" w14:textId="77777777">
        <w:trPr>
          <w:trHeight w:val="200"/>
        </w:trPr>
        <w:tc>
          <w:tcPr>
            <w:tcW w:w="6306" w:type="dxa"/>
            <w:shd w:val="clear" w:color="auto" w:fill="auto"/>
          </w:tcPr>
          <w:p w14:paraId="520763E4" w14:textId="77777777" w:rsidR="00194887" w:rsidRDefault="00194887">
            <w:pPr>
              <w:rPr>
                <w:rFonts w:ascii="Times New Roman" w:eastAsia="Times New Roman" w:hAnsi="Times New Roman" w:cs="Times New Roman"/>
                <w:color w:val="000000"/>
                <w:sz w:val="2"/>
                <w:szCs w:val="2"/>
              </w:rPr>
            </w:pPr>
          </w:p>
        </w:tc>
        <w:tc>
          <w:tcPr>
            <w:tcW w:w="1809" w:type="dxa"/>
            <w:vMerge/>
            <w:shd w:val="clear" w:color="auto" w:fill="auto"/>
          </w:tcPr>
          <w:p w14:paraId="00900FD4" w14:textId="77777777" w:rsidR="00194887" w:rsidRDefault="00194887">
            <w:pPr>
              <w:widowControl w:val="0"/>
              <w:pBdr>
                <w:top w:val="nil"/>
                <w:left w:val="nil"/>
                <w:bottom w:val="nil"/>
                <w:right w:val="nil"/>
                <w:between w:val="nil"/>
              </w:pBdr>
              <w:spacing w:line="276" w:lineRule="auto"/>
              <w:rPr>
                <w:rFonts w:ascii="Times New Roman" w:eastAsia="Times New Roman" w:hAnsi="Times New Roman" w:cs="Times New Roman"/>
                <w:color w:val="000000"/>
                <w:sz w:val="2"/>
                <w:szCs w:val="2"/>
              </w:rPr>
            </w:pPr>
          </w:p>
        </w:tc>
      </w:tr>
    </w:tbl>
    <w:p w14:paraId="0F40A9BA" w14:textId="77777777" w:rsidR="00194887" w:rsidRDefault="00194887">
      <w:pPr>
        <w:spacing w:before="5"/>
        <w:rPr>
          <w:color w:val="000000"/>
          <w:sz w:val="7"/>
          <w:szCs w:val="7"/>
        </w:rPr>
      </w:pPr>
    </w:p>
    <w:p w14:paraId="3EBC0FFC" w14:textId="77777777" w:rsidR="00194887" w:rsidRDefault="00194887">
      <w:pPr>
        <w:jc w:val="both"/>
      </w:pPr>
    </w:p>
    <w:p w14:paraId="4FBE1CB6" w14:textId="77777777" w:rsidR="00194887" w:rsidRDefault="00C151E4">
      <w:pPr>
        <w:jc w:val="both"/>
      </w:pPr>
      <w:r>
        <w:t xml:space="preserve">Toute note inférieure à 40/100 rendra la candidature déposée nulle. Par ailleurs, le </w:t>
      </w:r>
      <w:r w:rsidR="007618E2">
        <w:t>GIP FORINVAL</w:t>
      </w:r>
      <w:r>
        <w:t xml:space="preserve"> se réserve le droit de ne pas attribuer le marché si le dossier de réponse proposé ne remplit pas ses exigences, tant en termes de méthode qu’en termes financiers. </w:t>
      </w:r>
    </w:p>
    <w:p w14:paraId="4B605266" w14:textId="77777777" w:rsidR="00194887" w:rsidRDefault="00194887">
      <w:pPr>
        <w:rPr>
          <w:b/>
          <w:color w:val="000000"/>
          <w:u w:val="single"/>
        </w:rPr>
      </w:pPr>
    </w:p>
    <w:p w14:paraId="4945FC8E" w14:textId="77777777" w:rsidR="00194887" w:rsidRDefault="00194887">
      <w:pPr>
        <w:rPr>
          <w:b/>
          <w:color w:val="000000"/>
          <w:u w:val="single"/>
        </w:rPr>
      </w:pPr>
    </w:p>
    <w:p w14:paraId="1CF6A3D6" w14:textId="77777777" w:rsidR="003A7378" w:rsidRPr="003A7378" w:rsidRDefault="00C151E4" w:rsidP="004030F6">
      <w:pPr>
        <w:pStyle w:val="Paragraphedeliste"/>
        <w:numPr>
          <w:ilvl w:val="0"/>
          <w:numId w:val="14"/>
        </w:numPr>
        <w:rPr>
          <w:b/>
          <w:color w:val="000000"/>
          <w:u w:val="single"/>
        </w:rPr>
      </w:pPr>
      <w:r w:rsidRPr="003A7378">
        <w:rPr>
          <w:b/>
          <w:color w:val="000000"/>
          <w:u w:val="single"/>
        </w:rPr>
        <w:t>Sur la négociation</w:t>
      </w:r>
    </w:p>
    <w:p w14:paraId="3CF810D3" w14:textId="77777777" w:rsidR="00194887" w:rsidRDefault="00194887">
      <w:pPr>
        <w:spacing w:before="8"/>
        <w:rPr>
          <w:color w:val="000000"/>
          <w:sz w:val="12"/>
          <w:szCs w:val="12"/>
        </w:rPr>
      </w:pPr>
    </w:p>
    <w:p w14:paraId="13AA3E74" w14:textId="77777777" w:rsidR="00194887" w:rsidRDefault="00C151E4">
      <w:pPr>
        <w:spacing w:before="57"/>
        <w:ind w:right="208"/>
        <w:jc w:val="both"/>
        <w:rPr>
          <w:color w:val="000000"/>
        </w:rPr>
      </w:pPr>
      <w:r>
        <w:rPr>
          <w:color w:val="000000"/>
        </w:rPr>
        <w:t>Conformément à l’article R2161-5 du code de la commande publique, dans le cadre d’une procédure d’appel d’offre l’acheteur ne peut négocier avec les soumissionnaires. Il lui est seulement possible de leur demander de préciser la teneur de leur offre.</w:t>
      </w:r>
    </w:p>
    <w:p w14:paraId="052AACC7" w14:textId="77777777" w:rsidR="00194887" w:rsidRDefault="00194887">
      <w:pPr>
        <w:spacing w:before="9"/>
        <w:rPr>
          <w:color w:val="000000"/>
          <w:sz w:val="16"/>
          <w:szCs w:val="16"/>
        </w:rPr>
      </w:pPr>
    </w:p>
    <w:p w14:paraId="51331074" w14:textId="77777777" w:rsidR="00194887" w:rsidRDefault="00194887">
      <w:pPr>
        <w:spacing w:before="7"/>
        <w:rPr>
          <w:color w:val="000000"/>
          <w:sz w:val="12"/>
          <w:szCs w:val="12"/>
        </w:rPr>
      </w:pPr>
    </w:p>
    <w:p w14:paraId="2F0B1AE4" w14:textId="77777777" w:rsidR="00194887" w:rsidRDefault="00C151E4">
      <w:pPr>
        <w:spacing w:before="56"/>
        <w:ind w:right="211"/>
        <w:jc w:val="both"/>
        <w:rPr>
          <w:color w:val="000000"/>
        </w:rPr>
      </w:pPr>
      <w:r>
        <w:rPr>
          <w:color w:val="000000"/>
        </w:rPr>
        <w:t>Les offres inappropriées, irrégulières ou inacceptables décrites à l’article L.2152-1 et suivants du code de la commande publique seront éliminées.</w:t>
      </w:r>
    </w:p>
    <w:p w14:paraId="5813741E" w14:textId="77777777" w:rsidR="00194887" w:rsidRDefault="00C151E4">
      <w:pPr>
        <w:spacing w:before="1"/>
        <w:ind w:right="209"/>
        <w:jc w:val="both"/>
        <w:rPr>
          <w:color w:val="000000"/>
        </w:rPr>
      </w:pPr>
      <w:r>
        <w:rPr>
          <w:color w:val="000000"/>
        </w:rPr>
        <w:t xml:space="preserve">Cependant, le Pouvoir Adjudicateur peut, conformément à l’article R.2152-1 du code de la commande publique, autoriser tous les soumissionnaires concernés à régulariser les offres </w:t>
      </w:r>
      <w:r>
        <w:rPr>
          <w:color w:val="000000"/>
        </w:rPr>
        <w:lastRenderedPageBreak/>
        <w:t>irrégulières dans un délai approprié, à condition qu’elles ne soient pas anormalement basses.</w:t>
      </w:r>
    </w:p>
    <w:p w14:paraId="7D5A9430" w14:textId="77777777" w:rsidR="00194887" w:rsidRDefault="00C151E4">
      <w:pPr>
        <w:ind w:right="211"/>
        <w:jc w:val="both"/>
        <w:rPr>
          <w:color w:val="000000"/>
        </w:rPr>
      </w:pPr>
      <w:r>
        <w:rPr>
          <w:color w:val="000000"/>
        </w:rPr>
        <w:t>La régularisation des offres irrégulières ne peut avoir pour effet de modifier les caractéristiques substantielles des offres. Cette régularisation sera réalisée par courriel.</w:t>
      </w:r>
    </w:p>
    <w:p w14:paraId="16F3E7DB" w14:textId="77777777" w:rsidR="00194887" w:rsidRDefault="00194887">
      <w:pPr>
        <w:spacing w:before="8"/>
        <w:rPr>
          <w:color w:val="000000"/>
        </w:rPr>
      </w:pPr>
    </w:p>
    <w:p w14:paraId="26127E1F" w14:textId="77777777" w:rsidR="001A23D8" w:rsidRDefault="001A23D8">
      <w:pPr>
        <w:spacing w:before="8"/>
        <w:rPr>
          <w:color w:val="000000"/>
        </w:rPr>
      </w:pPr>
    </w:p>
    <w:p w14:paraId="2E7D42A1" w14:textId="77777777" w:rsidR="003A7378" w:rsidRPr="003A7378" w:rsidRDefault="003A7378" w:rsidP="004030F6">
      <w:pPr>
        <w:pStyle w:val="Paragraphedeliste"/>
        <w:numPr>
          <w:ilvl w:val="0"/>
          <w:numId w:val="14"/>
        </w:numPr>
        <w:rPr>
          <w:b/>
          <w:color w:val="000000"/>
          <w:u w:val="single"/>
        </w:rPr>
      </w:pPr>
      <w:r>
        <w:rPr>
          <w:b/>
          <w:color w:val="000000"/>
          <w:u w:val="single"/>
        </w:rPr>
        <w:t>Renseignements complémentaires</w:t>
      </w:r>
    </w:p>
    <w:p w14:paraId="1671EC63" w14:textId="77777777" w:rsidR="00194887" w:rsidRPr="003A7378" w:rsidRDefault="00194887">
      <w:pPr>
        <w:spacing w:before="7"/>
        <w:rPr>
          <w:color w:val="000000"/>
        </w:rPr>
      </w:pPr>
    </w:p>
    <w:p w14:paraId="2B8659E6" w14:textId="77777777" w:rsidR="00194887" w:rsidRDefault="00C151E4">
      <w:pPr>
        <w:spacing w:before="56"/>
        <w:ind w:right="210"/>
        <w:jc w:val="both"/>
        <w:rPr>
          <w:color w:val="0563C1"/>
          <w:u w:val="single"/>
        </w:rPr>
      </w:pPr>
      <w:r>
        <w:rPr>
          <w:color w:val="000000"/>
        </w:rPr>
        <w:t xml:space="preserve">Les candidats pourront, jusqu’à </w:t>
      </w:r>
      <w:r w:rsidR="003A7378">
        <w:rPr>
          <w:color w:val="000000"/>
        </w:rPr>
        <w:t>8</w:t>
      </w:r>
      <w:r>
        <w:rPr>
          <w:color w:val="000000"/>
        </w:rPr>
        <w:t xml:space="preserve"> jours maximum avant la date limite de remise des offres, adresser des demandes de renseignements sous forme de questions complémentaires concernant la consultation sur le site </w:t>
      </w:r>
      <w:hyperlink r:id="rId10">
        <w:r>
          <w:rPr>
            <w:color w:val="0563C1"/>
            <w:u w:val="single"/>
          </w:rPr>
          <w:t>https://marches-publics.gouv.fr/?page=Entreprise.AccueilEntreprise</w:t>
        </w:r>
      </w:hyperlink>
    </w:p>
    <w:p w14:paraId="5C338E6A" w14:textId="77777777" w:rsidR="003A7378" w:rsidRDefault="003A7378">
      <w:pPr>
        <w:spacing w:before="56"/>
        <w:ind w:right="210"/>
        <w:jc w:val="both"/>
        <w:rPr>
          <w:color w:val="0563C1"/>
          <w:u w:val="single"/>
        </w:rPr>
      </w:pPr>
    </w:p>
    <w:p w14:paraId="40EB6BBF" w14:textId="77777777" w:rsidR="003A7378" w:rsidRDefault="003A7378">
      <w:pPr>
        <w:spacing w:before="56"/>
        <w:ind w:right="210"/>
        <w:jc w:val="both"/>
      </w:pPr>
      <w:r>
        <w:rPr>
          <w:color w:val="000000"/>
        </w:rPr>
        <w:t xml:space="preserve">Le pouvoir adjudicateur répondra aux questions sous la forme d’une </w:t>
      </w:r>
      <w:r w:rsidR="00546C02">
        <w:rPr>
          <w:color w:val="000000"/>
        </w:rPr>
        <w:t>foire aux questions (</w:t>
      </w:r>
      <w:r>
        <w:rPr>
          <w:color w:val="000000"/>
        </w:rPr>
        <w:t>FAQ</w:t>
      </w:r>
      <w:r w:rsidR="00122413">
        <w:rPr>
          <w:color w:val="000000"/>
        </w:rPr>
        <w:t>)</w:t>
      </w:r>
      <w:r>
        <w:rPr>
          <w:color w:val="000000"/>
        </w:rPr>
        <w:t xml:space="preserve"> publié avec les autres documents du marché sur cette même plateforme.</w:t>
      </w:r>
    </w:p>
    <w:p w14:paraId="2291662A" w14:textId="77777777" w:rsidR="003A7378" w:rsidRDefault="003A7378">
      <w:pPr>
        <w:spacing w:before="56"/>
        <w:ind w:right="210"/>
        <w:jc w:val="both"/>
      </w:pPr>
    </w:p>
    <w:p w14:paraId="3F0922B0" w14:textId="77777777" w:rsidR="00194887" w:rsidRDefault="00C151E4">
      <w:pPr>
        <w:spacing w:before="1"/>
        <w:ind w:right="211"/>
        <w:jc w:val="both"/>
      </w:pPr>
      <w:r>
        <w:rPr>
          <w:color w:val="000000"/>
        </w:rPr>
        <w:t>Le pouvoir adjudicateur se laisse la possibilité de ne pas répondre aux questions qui ont déjà fait l’objet d’une réponse sur la plateforme ou si la réponse figure dans les pièces du marché.</w:t>
      </w:r>
    </w:p>
    <w:sectPr w:rsidR="00194887">
      <w:headerReference w:type="default" r:id="rId11"/>
      <w:footerReference w:type="default" r:id="rId12"/>
      <w:pgSz w:w="11906" w:h="16850"/>
      <w:pgMar w:top="1986" w:right="1060" w:bottom="720" w:left="920" w:header="73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AF728" w14:textId="77777777" w:rsidR="00F91347" w:rsidRDefault="00F91347">
      <w:r>
        <w:separator/>
      </w:r>
    </w:p>
  </w:endnote>
  <w:endnote w:type="continuationSeparator" w:id="0">
    <w:p w14:paraId="5431B036" w14:textId="77777777" w:rsidR="00F91347" w:rsidRDefault="00F91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Liberation Serif">
    <w:altName w:val="Times New Roman"/>
    <w:panose1 w:val="020B0604020202020204"/>
    <w:charset w:val="00"/>
    <w:family w:val="roman"/>
    <w:pitch w:val="variable"/>
    <w:sig w:usb0="E0000AFF" w:usb1="500078FF" w:usb2="00000021" w:usb3="00000000" w:csb0="000001BF" w:csb1="00000000"/>
  </w:font>
  <w:font w:name="Gotham Book">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4A0BF" w14:textId="77777777" w:rsidR="00194887" w:rsidRDefault="00C151E4">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4F575C">
      <w:rPr>
        <w:noProof/>
        <w:color w:val="000000"/>
      </w:rPr>
      <w:t>8</w:t>
    </w:r>
    <w:r>
      <w:rPr>
        <w:color w:val="000000"/>
      </w:rPr>
      <w:fldChar w:fldCharType="end"/>
    </w:r>
  </w:p>
  <w:p w14:paraId="2827C429" w14:textId="77777777" w:rsidR="00194887" w:rsidRDefault="00194887">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61B97" w14:textId="77777777" w:rsidR="00F91347" w:rsidRDefault="00F91347">
      <w:r>
        <w:separator/>
      </w:r>
    </w:p>
  </w:footnote>
  <w:footnote w:type="continuationSeparator" w:id="0">
    <w:p w14:paraId="6692C517" w14:textId="77777777" w:rsidR="00F91347" w:rsidRDefault="00F91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40A4" w14:textId="77777777" w:rsidR="00194887" w:rsidRDefault="002F0524">
    <w:pPr>
      <w:pBdr>
        <w:top w:val="nil"/>
        <w:left w:val="nil"/>
        <w:bottom w:val="nil"/>
        <w:right w:val="nil"/>
        <w:between w:val="nil"/>
      </w:pBdr>
      <w:tabs>
        <w:tab w:val="center" w:pos="4819"/>
        <w:tab w:val="right" w:pos="9638"/>
      </w:tabs>
      <w:rPr>
        <w:color w:val="000000"/>
      </w:rPr>
    </w:pPr>
    <w:r>
      <w:rPr>
        <w:rFonts w:ascii="Gotham Book" w:eastAsia="Gotham Book" w:hAnsi="Gotham Book" w:cs="Gotham Book"/>
        <w:noProof/>
        <w:color w:val="000000"/>
      </w:rPr>
      <w:drawing>
        <wp:anchor distT="0" distB="0" distL="114300" distR="114300" simplePos="0" relativeHeight="251660288" behindDoc="0" locked="0" layoutInCell="1" allowOverlap="1" wp14:anchorId="73460DEA" wp14:editId="6190CB7B">
          <wp:simplePos x="0" y="0"/>
          <wp:positionH relativeFrom="column">
            <wp:posOffset>4530904</wp:posOffset>
          </wp:positionH>
          <wp:positionV relativeFrom="paragraph">
            <wp:posOffset>-370504</wp:posOffset>
          </wp:positionV>
          <wp:extent cx="2221200" cy="1191600"/>
          <wp:effectExtent l="0" t="0" r="1905" b="2540"/>
          <wp:wrapNone/>
          <wp:docPr id="12913720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37205" name="Image 129137205"/>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1200" cy="1191600"/>
                  </a:xfrm>
                  <a:prstGeom prst="rect">
                    <a:avLst/>
                  </a:prstGeom>
                </pic:spPr>
              </pic:pic>
            </a:graphicData>
          </a:graphic>
          <wp14:sizeRelH relativeFrom="margin">
            <wp14:pctWidth>0</wp14:pctWidth>
          </wp14:sizeRelH>
          <wp14:sizeRelV relativeFrom="margin">
            <wp14:pctHeight>0</wp14:pctHeight>
          </wp14:sizeRelV>
        </wp:anchor>
      </w:drawing>
    </w:r>
    <w:r w:rsidR="00C151E4">
      <w:rPr>
        <w:noProof/>
      </w:rPr>
      <w:drawing>
        <wp:anchor distT="0" distB="0" distL="0" distR="0" simplePos="0" relativeHeight="251658240" behindDoc="1" locked="0" layoutInCell="1" hidden="0" allowOverlap="1" wp14:anchorId="0ADB2918" wp14:editId="14C4376B">
          <wp:simplePos x="0" y="0"/>
          <wp:positionH relativeFrom="column">
            <wp:posOffset>-104772</wp:posOffset>
          </wp:positionH>
          <wp:positionV relativeFrom="paragraph">
            <wp:posOffset>-362583</wp:posOffset>
          </wp:positionV>
          <wp:extent cx="3255010" cy="1053465"/>
          <wp:effectExtent l="0" t="0" r="0" b="0"/>
          <wp:wrapNone/>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3255010" cy="105346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B5F0B"/>
    <w:multiLevelType w:val="multilevel"/>
    <w:tmpl w:val="6374E032"/>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A927FC0"/>
    <w:multiLevelType w:val="multilevel"/>
    <w:tmpl w:val="67743B62"/>
    <w:lvl w:ilvl="0">
      <w:start w:val="1"/>
      <w:numFmt w:val="bullet"/>
      <w:lvlText w:val="-"/>
      <w:lvlJc w:val="left"/>
      <w:pPr>
        <w:ind w:left="720" w:hanging="360"/>
      </w:pPr>
      <w:rPr>
        <w:rFonts w:ascii="Noto Sans Symbols" w:eastAsia="Noto Sans Symbols" w:hAnsi="Noto Sans Symbols" w:cs="Noto Sans Symbols"/>
        <w:sz w:val="20"/>
        <w:szCs w:val="20"/>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2" w15:restartNumberingAfterBreak="0">
    <w:nsid w:val="217F4EDA"/>
    <w:multiLevelType w:val="multilevel"/>
    <w:tmpl w:val="A6A222CC"/>
    <w:lvl w:ilvl="0">
      <w:start w:val="8"/>
      <w:numFmt w:val="decimal"/>
      <w:lvlText w:val="%1"/>
      <w:lvlJc w:val="left"/>
      <w:pPr>
        <w:ind w:left="546" w:hanging="335"/>
      </w:pPr>
    </w:lvl>
    <w:lvl w:ilvl="1">
      <w:start w:val="1"/>
      <w:numFmt w:val="decimal"/>
      <w:lvlText w:val="%1.%2"/>
      <w:lvlJc w:val="left"/>
      <w:pPr>
        <w:ind w:left="546" w:hanging="335"/>
      </w:pPr>
      <w:rPr>
        <w:b/>
        <w:sz w:val="22"/>
        <w:szCs w:val="22"/>
        <w:u w:val="single"/>
      </w:rPr>
    </w:lvl>
    <w:lvl w:ilvl="2">
      <w:start w:val="1"/>
      <w:numFmt w:val="bullet"/>
      <w:lvlText w:val="-"/>
      <w:lvlJc w:val="left"/>
      <w:pPr>
        <w:ind w:left="758" w:hanging="118"/>
      </w:pPr>
      <w:rPr>
        <w:sz w:val="22"/>
        <w:szCs w:val="22"/>
      </w:rPr>
    </w:lvl>
    <w:lvl w:ilvl="3">
      <w:start w:val="1"/>
      <w:numFmt w:val="bullet"/>
      <w:lvlText w:val="●"/>
      <w:lvlJc w:val="left"/>
      <w:pPr>
        <w:ind w:left="2796" w:hanging="118"/>
      </w:pPr>
      <w:rPr>
        <w:rFonts w:ascii="Noto Sans Symbols" w:eastAsia="Noto Sans Symbols" w:hAnsi="Noto Sans Symbols" w:cs="Noto Sans Symbols"/>
      </w:rPr>
    </w:lvl>
    <w:lvl w:ilvl="4">
      <w:start w:val="1"/>
      <w:numFmt w:val="bullet"/>
      <w:lvlText w:val="●"/>
      <w:lvlJc w:val="left"/>
      <w:pPr>
        <w:ind w:left="3815" w:hanging="118"/>
      </w:pPr>
      <w:rPr>
        <w:rFonts w:ascii="Noto Sans Symbols" w:eastAsia="Noto Sans Symbols" w:hAnsi="Noto Sans Symbols" w:cs="Noto Sans Symbols"/>
      </w:rPr>
    </w:lvl>
    <w:lvl w:ilvl="5">
      <w:start w:val="1"/>
      <w:numFmt w:val="bullet"/>
      <w:lvlText w:val="●"/>
      <w:lvlJc w:val="left"/>
      <w:pPr>
        <w:ind w:left="4833" w:hanging="118"/>
      </w:pPr>
      <w:rPr>
        <w:rFonts w:ascii="Noto Sans Symbols" w:eastAsia="Noto Sans Symbols" w:hAnsi="Noto Sans Symbols" w:cs="Noto Sans Symbols"/>
      </w:rPr>
    </w:lvl>
    <w:lvl w:ilvl="6">
      <w:start w:val="1"/>
      <w:numFmt w:val="bullet"/>
      <w:lvlText w:val="●"/>
      <w:lvlJc w:val="left"/>
      <w:pPr>
        <w:ind w:left="5852" w:hanging="117"/>
      </w:pPr>
      <w:rPr>
        <w:rFonts w:ascii="Noto Sans Symbols" w:eastAsia="Noto Sans Symbols" w:hAnsi="Noto Sans Symbols" w:cs="Noto Sans Symbols"/>
      </w:rPr>
    </w:lvl>
    <w:lvl w:ilvl="7">
      <w:start w:val="1"/>
      <w:numFmt w:val="bullet"/>
      <w:lvlText w:val="●"/>
      <w:lvlJc w:val="left"/>
      <w:pPr>
        <w:ind w:left="6870" w:hanging="118"/>
      </w:pPr>
      <w:rPr>
        <w:rFonts w:ascii="Noto Sans Symbols" w:eastAsia="Noto Sans Symbols" w:hAnsi="Noto Sans Symbols" w:cs="Noto Sans Symbols"/>
      </w:rPr>
    </w:lvl>
    <w:lvl w:ilvl="8">
      <w:start w:val="1"/>
      <w:numFmt w:val="bullet"/>
      <w:lvlText w:val="●"/>
      <w:lvlJc w:val="left"/>
      <w:pPr>
        <w:ind w:left="7889" w:hanging="118"/>
      </w:pPr>
      <w:rPr>
        <w:rFonts w:ascii="Noto Sans Symbols" w:eastAsia="Noto Sans Symbols" w:hAnsi="Noto Sans Symbols" w:cs="Noto Sans Symbols"/>
      </w:rPr>
    </w:lvl>
  </w:abstractNum>
  <w:abstractNum w:abstractNumId="3" w15:restartNumberingAfterBreak="0">
    <w:nsid w:val="261768B8"/>
    <w:multiLevelType w:val="multilevel"/>
    <w:tmpl w:val="4286A258"/>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15:restartNumberingAfterBreak="0">
    <w:nsid w:val="2C1B4EEE"/>
    <w:multiLevelType w:val="multilevel"/>
    <w:tmpl w:val="6374E032"/>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4C5149C"/>
    <w:multiLevelType w:val="multilevel"/>
    <w:tmpl w:val="B3B00D42"/>
    <w:lvl w:ilvl="0">
      <w:start w:val="7"/>
      <w:numFmt w:val="decimal"/>
      <w:lvlText w:val="%1"/>
      <w:lvlJc w:val="left"/>
      <w:pPr>
        <w:ind w:left="554" w:hanging="342"/>
      </w:pPr>
    </w:lvl>
    <w:lvl w:ilvl="1">
      <w:start w:val="1"/>
      <w:numFmt w:val="decimal"/>
      <w:lvlText w:val="%1.%2"/>
      <w:lvlJc w:val="left"/>
      <w:pPr>
        <w:ind w:left="554" w:hanging="342"/>
      </w:pPr>
      <w:rPr>
        <w:b/>
        <w:sz w:val="22"/>
        <w:szCs w:val="22"/>
        <w:u w:val="single"/>
      </w:rPr>
    </w:lvl>
    <w:lvl w:ilvl="2">
      <w:start w:val="1"/>
      <w:numFmt w:val="bullet"/>
      <w:lvlText w:val="⮚"/>
      <w:lvlJc w:val="left"/>
      <w:pPr>
        <w:ind w:left="933" w:hanging="348"/>
      </w:pPr>
      <w:rPr>
        <w:sz w:val="22"/>
        <w:szCs w:val="22"/>
      </w:rPr>
    </w:lvl>
    <w:lvl w:ilvl="3">
      <w:start w:val="1"/>
      <w:numFmt w:val="bullet"/>
      <w:lvlText w:val="●"/>
      <w:lvlJc w:val="left"/>
      <w:pPr>
        <w:ind w:left="2936" w:hanging="348"/>
      </w:pPr>
      <w:rPr>
        <w:rFonts w:ascii="Noto Sans Symbols" w:eastAsia="Noto Sans Symbols" w:hAnsi="Noto Sans Symbols" w:cs="Noto Sans Symbols"/>
      </w:rPr>
    </w:lvl>
    <w:lvl w:ilvl="4">
      <w:start w:val="1"/>
      <w:numFmt w:val="bullet"/>
      <w:lvlText w:val="●"/>
      <w:lvlJc w:val="left"/>
      <w:pPr>
        <w:ind w:left="3935" w:hanging="348"/>
      </w:pPr>
      <w:rPr>
        <w:rFonts w:ascii="Noto Sans Symbols" w:eastAsia="Noto Sans Symbols" w:hAnsi="Noto Sans Symbols" w:cs="Noto Sans Symbols"/>
      </w:rPr>
    </w:lvl>
    <w:lvl w:ilvl="5">
      <w:start w:val="1"/>
      <w:numFmt w:val="bullet"/>
      <w:lvlText w:val="●"/>
      <w:lvlJc w:val="left"/>
      <w:pPr>
        <w:ind w:left="4933" w:hanging="348"/>
      </w:pPr>
      <w:rPr>
        <w:rFonts w:ascii="Noto Sans Symbols" w:eastAsia="Noto Sans Symbols" w:hAnsi="Noto Sans Symbols" w:cs="Noto Sans Symbols"/>
      </w:rPr>
    </w:lvl>
    <w:lvl w:ilvl="6">
      <w:start w:val="1"/>
      <w:numFmt w:val="bullet"/>
      <w:lvlText w:val="●"/>
      <w:lvlJc w:val="left"/>
      <w:pPr>
        <w:ind w:left="5932" w:hanging="347"/>
      </w:pPr>
      <w:rPr>
        <w:rFonts w:ascii="Noto Sans Symbols" w:eastAsia="Noto Sans Symbols" w:hAnsi="Noto Sans Symbols" w:cs="Noto Sans Symbols"/>
      </w:rPr>
    </w:lvl>
    <w:lvl w:ilvl="7">
      <w:start w:val="1"/>
      <w:numFmt w:val="bullet"/>
      <w:lvlText w:val="●"/>
      <w:lvlJc w:val="left"/>
      <w:pPr>
        <w:ind w:left="6930" w:hanging="348"/>
      </w:pPr>
      <w:rPr>
        <w:rFonts w:ascii="Noto Sans Symbols" w:eastAsia="Noto Sans Symbols" w:hAnsi="Noto Sans Symbols" w:cs="Noto Sans Symbols"/>
      </w:rPr>
    </w:lvl>
    <w:lvl w:ilvl="8">
      <w:start w:val="1"/>
      <w:numFmt w:val="bullet"/>
      <w:lvlText w:val="●"/>
      <w:lvlJc w:val="left"/>
      <w:pPr>
        <w:ind w:left="7929" w:hanging="348"/>
      </w:pPr>
      <w:rPr>
        <w:rFonts w:ascii="Noto Sans Symbols" w:eastAsia="Noto Sans Symbols" w:hAnsi="Noto Sans Symbols" w:cs="Noto Sans Symbols"/>
      </w:rPr>
    </w:lvl>
  </w:abstractNum>
  <w:abstractNum w:abstractNumId="6" w15:restartNumberingAfterBreak="0">
    <w:nsid w:val="41E82556"/>
    <w:multiLevelType w:val="multilevel"/>
    <w:tmpl w:val="1B0289E2"/>
    <w:lvl w:ilvl="0">
      <w:start w:val="9"/>
      <w:numFmt w:val="decimal"/>
      <w:lvlText w:val="%1"/>
      <w:lvlJc w:val="left"/>
      <w:pPr>
        <w:ind w:left="555" w:hanging="343"/>
      </w:pPr>
    </w:lvl>
    <w:lvl w:ilvl="1">
      <w:start w:val="1"/>
      <w:numFmt w:val="decimal"/>
      <w:lvlText w:val="%1.%2"/>
      <w:lvlJc w:val="left"/>
      <w:pPr>
        <w:ind w:left="555" w:hanging="343"/>
      </w:pPr>
      <w:rPr>
        <w:b/>
        <w:sz w:val="22"/>
        <w:szCs w:val="22"/>
        <w:u w:val="single"/>
      </w:rPr>
    </w:lvl>
    <w:lvl w:ilvl="2">
      <w:start w:val="1"/>
      <w:numFmt w:val="bullet"/>
      <w:lvlText w:val="⮚"/>
      <w:lvlJc w:val="left"/>
      <w:pPr>
        <w:ind w:left="921" w:hanging="348"/>
      </w:pPr>
      <w:rPr>
        <w:sz w:val="22"/>
        <w:szCs w:val="22"/>
      </w:rPr>
    </w:lvl>
    <w:lvl w:ilvl="3">
      <w:start w:val="1"/>
      <w:numFmt w:val="bullet"/>
      <w:lvlText w:val="●"/>
      <w:lvlJc w:val="left"/>
      <w:pPr>
        <w:ind w:left="2921" w:hanging="348"/>
      </w:pPr>
      <w:rPr>
        <w:rFonts w:ascii="Noto Sans Symbols" w:eastAsia="Noto Sans Symbols" w:hAnsi="Noto Sans Symbols" w:cs="Noto Sans Symbols"/>
      </w:rPr>
    </w:lvl>
    <w:lvl w:ilvl="4">
      <w:start w:val="1"/>
      <w:numFmt w:val="bullet"/>
      <w:lvlText w:val="●"/>
      <w:lvlJc w:val="left"/>
      <w:pPr>
        <w:ind w:left="3922" w:hanging="348"/>
      </w:pPr>
      <w:rPr>
        <w:rFonts w:ascii="Noto Sans Symbols" w:eastAsia="Noto Sans Symbols" w:hAnsi="Noto Sans Symbols" w:cs="Noto Sans Symbols"/>
      </w:rPr>
    </w:lvl>
    <w:lvl w:ilvl="5">
      <w:start w:val="1"/>
      <w:numFmt w:val="bullet"/>
      <w:lvlText w:val="●"/>
      <w:lvlJc w:val="left"/>
      <w:pPr>
        <w:ind w:left="4922" w:hanging="348"/>
      </w:pPr>
      <w:rPr>
        <w:rFonts w:ascii="Noto Sans Symbols" w:eastAsia="Noto Sans Symbols" w:hAnsi="Noto Sans Symbols" w:cs="Noto Sans Symbols"/>
      </w:rPr>
    </w:lvl>
    <w:lvl w:ilvl="6">
      <w:start w:val="1"/>
      <w:numFmt w:val="bullet"/>
      <w:lvlText w:val="●"/>
      <w:lvlJc w:val="left"/>
      <w:pPr>
        <w:ind w:left="5923" w:hanging="348"/>
      </w:pPr>
      <w:rPr>
        <w:rFonts w:ascii="Noto Sans Symbols" w:eastAsia="Noto Sans Symbols" w:hAnsi="Noto Sans Symbols" w:cs="Noto Sans Symbols"/>
      </w:rPr>
    </w:lvl>
    <w:lvl w:ilvl="7">
      <w:start w:val="1"/>
      <w:numFmt w:val="bullet"/>
      <w:lvlText w:val="●"/>
      <w:lvlJc w:val="left"/>
      <w:pPr>
        <w:ind w:left="6924" w:hanging="348"/>
      </w:pPr>
      <w:rPr>
        <w:rFonts w:ascii="Noto Sans Symbols" w:eastAsia="Noto Sans Symbols" w:hAnsi="Noto Sans Symbols" w:cs="Noto Sans Symbols"/>
      </w:rPr>
    </w:lvl>
    <w:lvl w:ilvl="8">
      <w:start w:val="1"/>
      <w:numFmt w:val="bullet"/>
      <w:lvlText w:val="●"/>
      <w:lvlJc w:val="left"/>
      <w:pPr>
        <w:ind w:left="7924" w:hanging="348"/>
      </w:pPr>
      <w:rPr>
        <w:rFonts w:ascii="Noto Sans Symbols" w:eastAsia="Noto Sans Symbols" w:hAnsi="Noto Sans Symbols" w:cs="Noto Sans Symbols"/>
      </w:rPr>
    </w:lvl>
  </w:abstractNum>
  <w:abstractNum w:abstractNumId="7" w15:restartNumberingAfterBreak="0">
    <w:nsid w:val="4285255C"/>
    <w:multiLevelType w:val="hybridMultilevel"/>
    <w:tmpl w:val="B492FDC2"/>
    <w:lvl w:ilvl="0" w:tplc="B05E7E7A">
      <w:start w:val="3"/>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99E7CE9"/>
    <w:multiLevelType w:val="hybridMultilevel"/>
    <w:tmpl w:val="A4A495EC"/>
    <w:lvl w:ilvl="0" w:tplc="B9102F7A">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E236877"/>
    <w:multiLevelType w:val="multilevel"/>
    <w:tmpl w:val="6374E032"/>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2770132"/>
    <w:multiLevelType w:val="multilevel"/>
    <w:tmpl w:val="19845E82"/>
    <w:lvl w:ilvl="0">
      <w:start w:val="1"/>
      <w:numFmt w:val="bullet"/>
      <w:lvlText w:val="-"/>
      <w:lvlJc w:val="left"/>
      <w:pPr>
        <w:ind w:left="212" w:hanging="125"/>
      </w:pPr>
      <w:rPr>
        <w:sz w:val="22"/>
        <w:szCs w:val="22"/>
      </w:rPr>
    </w:lvl>
    <w:lvl w:ilvl="1">
      <w:start w:val="1"/>
      <w:numFmt w:val="bullet"/>
      <w:lvlText w:val="-"/>
      <w:lvlJc w:val="left"/>
      <w:pPr>
        <w:ind w:left="1038" w:hanging="118"/>
      </w:pPr>
      <w:rPr>
        <w:sz w:val="22"/>
        <w:szCs w:val="22"/>
      </w:rPr>
    </w:lvl>
    <w:lvl w:ilvl="2">
      <w:start w:val="1"/>
      <w:numFmt w:val="bullet"/>
      <w:lvlText w:val="●"/>
      <w:lvlJc w:val="left"/>
      <w:pPr>
        <w:ind w:left="2027" w:hanging="118"/>
      </w:pPr>
      <w:rPr>
        <w:rFonts w:ascii="Noto Sans Symbols" w:eastAsia="Noto Sans Symbols" w:hAnsi="Noto Sans Symbols" w:cs="Noto Sans Symbols"/>
      </w:rPr>
    </w:lvl>
    <w:lvl w:ilvl="3">
      <w:start w:val="1"/>
      <w:numFmt w:val="bullet"/>
      <w:lvlText w:val="●"/>
      <w:lvlJc w:val="left"/>
      <w:pPr>
        <w:ind w:left="3014" w:hanging="118"/>
      </w:pPr>
      <w:rPr>
        <w:rFonts w:ascii="Noto Sans Symbols" w:eastAsia="Noto Sans Symbols" w:hAnsi="Noto Sans Symbols" w:cs="Noto Sans Symbols"/>
      </w:rPr>
    </w:lvl>
    <w:lvl w:ilvl="4">
      <w:start w:val="1"/>
      <w:numFmt w:val="bullet"/>
      <w:lvlText w:val="●"/>
      <w:lvlJc w:val="left"/>
      <w:pPr>
        <w:ind w:left="4002" w:hanging="118"/>
      </w:pPr>
      <w:rPr>
        <w:rFonts w:ascii="Noto Sans Symbols" w:eastAsia="Noto Sans Symbols" w:hAnsi="Noto Sans Symbols" w:cs="Noto Sans Symbols"/>
      </w:rPr>
    </w:lvl>
    <w:lvl w:ilvl="5">
      <w:start w:val="1"/>
      <w:numFmt w:val="bullet"/>
      <w:lvlText w:val="●"/>
      <w:lvlJc w:val="left"/>
      <w:pPr>
        <w:ind w:left="4989" w:hanging="118"/>
      </w:pPr>
      <w:rPr>
        <w:rFonts w:ascii="Noto Sans Symbols" w:eastAsia="Noto Sans Symbols" w:hAnsi="Noto Sans Symbols" w:cs="Noto Sans Symbols"/>
      </w:rPr>
    </w:lvl>
    <w:lvl w:ilvl="6">
      <w:start w:val="1"/>
      <w:numFmt w:val="bullet"/>
      <w:lvlText w:val="●"/>
      <w:lvlJc w:val="left"/>
      <w:pPr>
        <w:ind w:left="5976" w:hanging="117"/>
      </w:pPr>
      <w:rPr>
        <w:rFonts w:ascii="Noto Sans Symbols" w:eastAsia="Noto Sans Symbols" w:hAnsi="Noto Sans Symbols" w:cs="Noto Sans Symbols"/>
      </w:rPr>
    </w:lvl>
    <w:lvl w:ilvl="7">
      <w:start w:val="1"/>
      <w:numFmt w:val="bullet"/>
      <w:lvlText w:val="●"/>
      <w:lvlJc w:val="left"/>
      <w:pPr>
        <w:ind w:left="6964" w:hanging="118"/>
      </w:pPr>
      <w:rPr>
        <w:rFonts w:ascii="Noto Sans Symbols" w:eastAsia="Noto Sans Symbols" w:hAnsi="Noto Sans Symbols" w:cs="Noto Sans Symbols"/>
      </w:rPr>
    </w:lvl>
    <w:lvl w:ilvl="8">
      <w:start w:val="1"/>
      <w:numFmt w:val="bullet"/>
      <w:lvlText w:val="●"/>
      <w:lvlJc w:val="left"/>
      <w:pPr>
        <w:ind w:left="7951" w:hanging="117"/>
      </w:pPr>
      <w:rPr>
        <w:rFonts w:ascii="Noto Sans Symbols" w:eastAsia="Noto Sans Symbols" w:hAnsi="Noto Sans Symbols" w:cs="Noto Sans Symbols"/>
      </w:rPr>
    </w:lvl>
  </w:abstractNum>
  <w:abstractNum w:abstractNumId="11" w15:restartNumberingAfterBreak="0">
    <w:nsid w:val="77B369E5"/>
    <w:multiLevelType w:val="multilevel"/>
    <w:tmpl w:val="842ADCEE"/>
    <w:lvl w:ilvl="0">
      <w:start w:val="1"/>
      <w:numFmt w:val="decimal"/>
      <w:lvlText w:val="%1."/>
      <w:lvlJc w:val="left"/>
      <w:pPr>
        <w:ind w:left="933" w:hanging="348"/>
      </w:pPr>
      <w:rPr>
        <w:b w:val="0"/>
        <w:sz w:val="22"/>
        <w:szCs w:val="22"/>
      </w:rPr>
    </w:lvl>
    <w:lvl w:ilvl="1">
      <w:start w:val="1"/>
      <w:numFmt w:val="lowerLetter"/>
      <w:lvlText w:val="%2)"/>
      <w:lvlJc w:val="left"/>
      <w:pPr>
        <w:ind w:left="1143" w:hanging="223"/>
      </w:pPr>
      <w:rPr>
        <w:sz w:val="22"/>
        <w:szCs w:val="22"/>
      </w:rPr>
    </w:lvl>
    <w:lvl w:ilvl="2">
      <w:start w:val="1"/>
      <w:numFmt w:val="bullet"/>
      <w:lvlText w:val="●"/>
      <w:lvlJc w:val="left"/>
      <w:pPr>
        <w:ind w:left="2116" w:hanging="223"/>
      </w:pPr>
      <w:rPr>
        <w:rFonts w:ascii="Noto Sans Symbols" w:eastAsia="Noto Sans Symbols" w:hAnsi="Noto Sans Symbols" w:cs="Noto Sans Symbols"/>
      </w:rPr>
    </w:lvl>
    <w:lvl w:ilvl="3">
      <w:start w:val="1"/>
      <w:numFmt w:val="bullet"/>
      <w:lvlText w:val="●"/>
      <w:lvlJc w:val="left"/>
      <w:pPr>
        <w:ind w:left="3092" w:hanging="223"/>
      </w:pPr>
      <w:rPr>
        <w:rFonts w:ascii="Noto Sans Symbols" w:eastAsia="Noto Sans Symbols" w:hAnsi="Noto Sans Symbols" w:cs="Noto Sans Symbols"/>
      </w:rPr>
    </w:lvl>
    <w:lvl w:ilvl="4">
      <w:start w:val="1"/>
      <w:numFmt w:val="bullet"/>
      <w:lvlText w:val="●"/>
      <w:lvlJc w:val="left"/>
      <w:pPr>
        <w:ind w:left="4068" w:hanging="223"/>
      </w:pPr>
      <w:rPr>
        <w:rFonts w:ascii="Noto Sans Symbols" w:eastAsia="Noto Sans Symbols" w:hAnsi="Noto Sans Symbols" w:cs="Noto Sans Symbols"/>
      </w:rPr>
    </w:lvl>
    <w:lvl w:ilvl="5">
      <w:start w:val="1"/>
      <w:numFmt w:val="bullet"/>
      <w:lvlText w:val="●"/>
      <w:lvlJc w:val="left"/>
      <w:pPr>
        <w:ind w:left="5045" w:hanging="223"/>
      </w:pPr>
      <w:rPr>
        <w:rFonts w:ascii="Noto Sans Symbols" w:eastAsia="Noto Sans Symbols" w:hAnsi="Noto Sans Symbols" w:cs="Noto Sans Symbols"/>
      </w:rPr>
    </w:lvl>
    <w:lvl w:ilvl="6">
      <w:start w:val="1"/>
      <w:numFmt w:val="bullet"/>
      <w:lvlText w:val="●"/>
      <w:lvlJc w:val="left"/>
      <w:pPr>
        <w:ind w:left="6021" w:hanging="222"/>
      </w:pPr>
      <w:rPr>
        <w:rFonts w:ascii="Noto Sans Symbols" w:eastAsia="Noto Sans Symbols" w:hAnsi="Noto Sans Symbols" w:cs="Noto Sans Symbols"/>
      </w:rPr>
    </w:lvl>
    <w:lvl w:ilvl="7">
      <w:start w:val="1"/>
      <w:numFmt w:val="bullet"/>
      <w:lvlText w:val="●"/>
      <w:lvlJc w:val="left"/>
      <w:pPr>
        <w:ind w:left="6997" w:hanging="222"/>
      </w:pPr>
      <w:rPr>
        <w:rFonts w:ascii="Noto Sans Symbols" w:eastAsia="Noto Sans Symbols" w:hAnsi="Noto Sans Symbols" w:cs="Noto Sans Symbols"/>
      </w:rPr>
    </w:lvl>
    <w:lvl w:ilvl="8">
      <w:start w:val="1"/>
      <w:numFmt w:val="bullet"/>
      <w:lvlText w:val="●"/>
      <w:lvlJc w:val="left"/>
      <w:pPr>
        <w:ind w:left="7973" w:hanging="223"/>
      </w:pPr>
      <w:rPr>
        <w:rFonts w:ascii="Noto Sans Symbols" w:eastAsia="Noto Sans Symbols" w:hAnsi="Noto Sans Symbols" w:cs="Noto Sans Symbols"/>
      </w:rPr>
    </w:lvl>
  </w:abstractNum>
  <w:abstractNum w:abstractNumId="12" w15:restartNumberingAfterBreak="0">
    <w:nsid w:val="7CCA169C"/>
    <w:multiLevelType w:val="multilevel"/>
    <w:tmpl w:val="07BAB5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CD54DD6"/>
    <w:multiLevelType w:val="hybridMultilevel"/>
    <w:tmpl w:val="37C868D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EE03834"/>
    <w:multiLevelType w:val="hybridMultilevel"/>
    <w:tmpl w:val="D2AA42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31299645">
    <w:abstractNumId w:val="11"/>
  </w:num>
  <w:num w:numId="2" w16cid:durableId="1372878451">
    <w:abstractNumId w:val="3"/>
  </w:num>
  <w:num w:numId="3" w16cid:durableId="2053770084">
    <w:abstractNumId w:val="6"/>
  </w:num>
  <w:num w:numId="4" w16cid:durableId="350838727">
    <w:abstractNumId w:val="2"/>
  </w:num>
  <w:num w:numId="5" w16cid:durableId="2012641928">
    <w:abstractNumId w:val="5"/>
  </w:num>
  <w:num w:numId="6" w16cid:durableId="1956673932">
    <w:abstractNumId w:val="10"/>
  </w:num>
  <w:num w:numId="7" w16cid:durableId="1138380443">
    <w:abstractNumId w:val="12"/>
  </w:num>
  <w:num w:numId="8" w16cid:durableId="293677606">
    <w:abstractNumId w:val="7"/>
  </w:num>
  <w:num w:numId="9" w16cid:durableId="1486972179">
    <w:abstractNumId w:val="1"/>
  </w:num>
  <w:num w:numId="10" w16cid:durableId="638462484">
    <w:abstractNumId w:val="14"/>
  </w:num>
  <w:num w:numId="11" w16cid:durableId="904531517">
    <w:abstractNumId w:val="0"/>
  </w:num>
  <w:num w:numId="12" w16cid:durableId="866873735">
    <w:abstractNumId w:val="9"/>
  </w:num>
  <w:num w:numId="13" w16cid:durableId="1770463853">
    <w:abstractNumId w:val="4"/>
  </w:num>
  <w:num w:numId="14" w16cid:durableId="979463478">
    <w:abstractNumId w:val="13"/>
  </w:num>
  <w:num w:numId="15" w16cid:durableId="9454230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887"/>
    <w:rsid w:val="00000C0F"/>
    <w:rsid w:val="00084C15"/>
    <w:rsid w:val="000B577D"/>
    <w:rsid w:val="00122413"/>
    <w:rsid w:val="00145B91"/>
    <w:rsid w:val="00194887"/>
    <w:rsid w:val="001A23D8"/>
    <w:rsid w:val="002338F5"/>
    <w:rsid w:val="002605C7"/>
    <w:rsid w:val="002700E5"/>
    <w:rsid w:val="0027755C"/>
    <w:rsid w:val="002777B8"/>
    <w:rsid w:val="002B12F1"/>
    <w:rsid w:val="002C160B"/>
    <w:rsid w:val="002F0524"/>
    <w:rsid w:val="00386E2D"/>
    <w:rsid w:val="003A7378"/>
    <w:rsid w:val="004030F6"/>
    <w:rsid w:val="004B1476"/>
    <w:rsid w:val="004F575C"/>
    <w:rsid w:val="00546C02"/>
    <w:rsid w:val="00570130"/>
    <w:rsid w:val="00585944"/>
    <w:rsid w:val="00661BC2"/>
    <w:rsid w:val="00696F56"/>
    <w:rsid w:val="006B43D8"/>
    <w:rsid w:val="007216C9"/>
    <w:rsid w:val="0074477E"/>
    <w:rsid w:val="007618E2"/>
    <w:rsid w:val="007C5B5C"/>
    <w:rsid w:val="007F077D"/>
    <w:rsid w:val="00874AE8"/>
    <w:rsid w:val="00897A3B"/>
    <w:rsid w:val="008A05DD"/>
    <w:rsid w:val="008B0153"/>
    <w:rsid w:val="008E56BE"/>
    <w:rsid w:val="008F3FA2"/>
    <w:rsid w:val="008F5CCA"/>
    <w:rsid w:val="009029BB"/>
    <w:rsid w:val="0091142D"/>
    <w:rsid w:val="00955D06"/>
    <w:rsid w:val="00963A88"/>
    <w:rsid w:val="009671B5"/>
    <w:rsid w:val="009C1091"/>
    <w:rsid w:val="009D21FD"/>
    <w:rsid w:val="009E2039"/>
    <w:rsid w:val="00A03DAC"/>
    <w:rsid w:val="00A05F20"/>
    <w:rsid w:val="00A24112"/>
    <w:rsid w:val="00A612A0"/>
    <w:rsid w:val="00A80F72"/>
    <w:rsid w:val="00AB3304"/>
    <w:rsid w:val="00AF564C"/>
    <w:rsid w:val="00B11465"/>
    <w:rsid w:val="00B118A1"/>
    <w:rsid w:val="00B46B6D"/>
    <w:rsid w:val="00BF60D2"/>
    <w:rsid w:val="00C151E4"/>
    <w:rsid w:val="00C15F72"/>
    <w:rsid w:val="00C5735E"/>
    <w:rsid w:val="00C65A30"/>
    <w:rsid w:val="00C76478"/>
    <w:rsid w:val="00CB0C51"/>
    <w:rsid w:val="00D7297A"/>
    <w:rsid w:val="00D84E8B"/>
    <w:rsid w:val="00DA66D5"/>
    <w:rsid w:val="00E64ED8"/>
    <w:rsid w:val="00F575F0"/>
    <w:rsid w:val="00F75460"/>
    <w:rsid w:val="00F913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36C0E"/>
  <w15:docId w15:val="{0E0259B7-8960-4DA2-858B-A451B3FC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98" w:type="dxa"/>
        <w:right w:w="108" w:type="dxa"/>
      </w:tblCellMar>
    </w:tblPr>
  </w:style>
  <w:style w:type="table" w:customStyle="1" w:styleId="a0">
    <w:basedOn w:val="TableNormal0"/>
    <w:tblPr>
      <w:tblStyleRowBandSize w:val="1"/>
      <w:tblStyleColBandSize w:val="1"/>
      <w:tblCellMar>
        <w:left w:w="103"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paragraph" w:styleId="En-tte">
    <w:name w:val="header"/>
    <w:basedOn w:val="Normal"/>
    <w:link w:val="En-tteCar"/>
    <w:uiPriority w:val="99"/>
    <w:unhideWhenUsed/>
    <w:rsid w:val="00453674"/>
    <w:pPr>
      <w:tabs>
        <w:tab w:val="center" w:pos="4536"/>
        <w:tab w:val="right" w:pos="9072"/>
      </w:tabs>
    </w:pPr>
  </w:style>
  <w:style w:type="character" w:customStyle="1" w:styleId="En-tteCar">
    <w:name w:val="En-tête Car"/>
    <w:basedOn w:val="Policepardfaut"/>
    <w:link w:val="En-tte"/>
    <w:uiPriority w:val="99"/>
    <w:rsid w:val="00453674"/>
  </w:style>
  <w:style w:type="paragraph" w:styleId="Pieddepage">
    <w:name w:val="footer"/>
    <w:basedOn w:val="Normal"/>
    <w:link w:val="PieddepageCar"/>
    <w:uiPriority w:val="99"/>
    <w:unhideWhenUsed/>
    <w:rsid w:val="00453674"/>
    <w:pPr>
      <w:tabs>
        <w:tab w:val="center" w:pos="4536"/>
        <w:tab w:val="right" w:pos="9072"/>
      </w:tabs>
    </w:pPr>
  </w:style>
  <w:style w:type="character" w:customStyle="1" w:styleId="PieddepageCar">
    <w:name w:val="Pied de page Car"/>
    <w:basedOn w:val="Policepardfaut"/>
    <w:link w:val="Pieddepage"/>
    <w:uiPriority w:val="99"/>
    <w:rsid w:val="00453674"/>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paragraph" w:styleId="Paragraphedeliste">
    <w:name w:val="List Paragraph"/>
    <w:basedOn w:val="Normal"/>
    <w:uiPriority w:val="34"/>
    <w:qFormat/>
    <w:rsid w:val="00570130"/>
    <w:pPr>
      <w:ind w:left="720"/>
      <w:contextualSpacing/>
    </w:pPr>
  </w:style>
  <w:style w:type="paragraph" w:customStyle="1" w:styleId="Default">
    <w:name w:val="Default"/>
    <w:rsid w:val="00963A88"/>
    <w:pPr>
      <w:autoSpaceDE w:val="0"/>
      <w:autoSpaceDN w:val="0"/>
      <w:adjustRightInd w:val="0"/>
    </w:pPr>
    <w:rPr>
      <w:color w:val="000000"/>
    </w:rPr>
  </w:style>
  <w:style w:type="paragraph" w:styleId="Textedebulles">
    <w:name w:val="Balloon Text"/>
    <w:basedOn w:val="Normal"/>
    <w:link w:val="TextedebullesCar"/>
    <w:uiPriority w:val="99"/>
    <w:semiHidden/>
    <w:unhideWhenUsed/>
    <w:rsid w:val="008F3FA2"/>
    <w:rPr>
      <w:rFonts w:ascii="Segoe UI" w:hAnsi="Segoe UI" w:cs="Segoe UI"/>
      <w:sz w:val="18"/>
      <w:szCs w:val="18"/>
    </w:rPr>
  </w:style>
  <w:style w:type="character" w:customStyle="1" w:styleId="TextedebullesCar">
    <w:name w:val="Texte de bulles Car"/>
    <w:basedOn w:val="Policepardfaut"/>
    <w:link w:val="Textedebulles"/>
    <w:uiPriority w:val="99"/>
    <w:semiHidden/>
    <w:rsid w:val="008F3FA2"/>
    <w:rPr>
      <w:rFonts w:ascii="Segoe UI" w:hAnsi="Segoe UI" w:cs="Segoe UI"/>
      <w:sz w:val="18"/>
      <w:szCs w:val="18"/>
    </w:rPr>
  </w:style>
  <w:style w:type="paragraph" w:styleId="NormalWeb">
    <w:name w:val="Normal (Web)"/>
    <w:basedOn w:val="Normal"/>
    <w:uiPriority w:val="99"/>
    <w:unhideWhenUsed/>
    <w:rsid w:val="008F5CCA"/>
    <w:pPr>
      <w:spacing w:before="100" w:beforeAutospacing="1" w:after="100" w:afterAutospacing="1"/>
    </w:pPr>
    <w:rPr>
      <w:rFonts w:ascii="Times New Roman" w:eastAsia="Times New Roman" w:hAnsi="Times New Roman" w:cs="Times New Roman"/>
    </w:rPr>
  </w:style>
  <w:style w:type="character" w:styleId="Marquedecommentaire">
    <w:name w:val="annotation reference"/>
    <w:basedOn w:val="Policepardfaut"/>
    <w:uiPriority w:val="99"/>
    <w:semiHidden/>
    <w:unhideWhenUsed/>
    <w:rsid w:val="009671B5"/>
    <w:rPr>
      <w:sz w:val="16"/>
      <w:szCs w:val="16"/>
    </w:rPr>
  </w:style>
  <w:style w:type="paragraph" w:styleId="Commentaire">
    <w:name w:val="annotation text"/>
    <w:basedOn w:val="Normal"/>
    <w:link w:val="CommentaireCar"/>
    <w:uiPriority w:val="99"/>
    <w:semiHidden/>
    <w:unhideWhenUsed/>
    <w:rsid w:val="009671B5"/>
    <w:rPr>
      <w:sz w:val="20"/>
      <w:szCs w:val="20"/>
    </w:rPr>
  </w:style>
  <w:style w:type="character" w:customStyle="1" w:styleId="CommentaireCar">
    <w:name w:val="Commentaire Car"/>
    <w:basedOn w:val="Policepardfaut"/>
    <w:link w:val="Commentaire"/>
    <w:uiPriority w:val="99"/>
    <w:semiHidden/>
    <w:rsid w:val="009671B5"/>
    <w:rPr>
      <w:sz w:val="20"/>
      <w:szCs w:val="20"/>
    </w:rPr>
  </w:style>
  <w:style w:type="paragraph" w:styleId="Objetducommentaire">
    <w:name w:val="annotation subject"/>
    <w:basedOn w:val="Commentaire"/>
    <w:next w:val="Commentaire"/>
    <w:link w:val="ObjetducommentaireCar"/>
    <w:uiPriority w:val="99"/>
    <w:semiHidden/>
    <w:unhideWhenUsed/>
    <w:rsid w:val="009671B5"/>
    <w:rPr>
      <w:b/>
      <w:bCs/>
    </w:rPr>
  </w:style>
  <w:style w:type="character" w:customStyle="1" w:styleId="ObjetducommentaireCar">
    <w:name w:val="Objet du commentaire Car"/>
    <w:basedOn w:val="CommentaireCar"/>
    <w:link w:val="Objetducommentaire"/>
    <w:uiPriority w:val="99"/>
    <w:semiHidden/>
    <w:rsid w:val="009671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208932">
      <w:bodyDiv w:val="1"/>
      <w:marLeft w:val="0"/>
      <w:marRight w:val="0"/>
      <w:marTop w:val="0"/>
      <w:marBottom w:val="0"/>
      <w:divBdr>
        <w:top w:val="none" w:sz="0" w:space="0" w:color="auto"/>
        <w:left w:val="none" w:sz="0" w:space="0" w:color="auto"/>
        <w:bottom w:val="none" w:sz="0" w:space="0" w:color="auto"/>
        <w:right w:val="none" w:sz="0" w:space="0" w:color="auto"/>
      </w:divBdr>
      <w:divsChild>
        <w:div w:id="687371225">
          <w:marLeft w:val="0"/>
          <w:marRight w:val="0"/>
          <w:marTop w:val="0"/>
          <w:marBottom w:val="0"/>
          <w:divBdr>
            <w:top w:val="none" w:sz="0" w:space="0" w:color="auto"/>
            <w:left w:val="none" w:sz="0" w:space="0" w:color="auto"/>
            <w:bottom w:val="none" w:sz="0" w:space="0" w:color="auto"/>
            <w:right w:val="none" w:sz="0" w:space="0" w:color="auto"/>
          </w:divBdr>
          <w:divsChild>
            <w:div w:id="873151420">
              <w:marLeft w:val="0"/>
              <w:marRight w:val="0"/>
              <w:marTop w:val="0"/>
              <w:marBottom w:val="0"/>
              <w:divBdr>
                <w:top w:val="none" w:sz="0" w:space="0" w:color="auto"/>
                <w:left w:val="none" w:sz="0" w:space="0" w:color="auto"/>
                <w:bottom w:val="none" w:sz="0" w:space="0" w:color="auto"/>
                <w:right w:val="none" w:sz="0" w:space="0" w:color="auto"/>
              </w:divBdr>
              <w:divsChild>
                <w:div w:id="20356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marches-publics.gouv.fr/?page=Entreprise.AccueilEntreprise" TargetMode="External"/><Relationship Id="rId4" Type="http://schemas.openxmlformats.org/officeDocument/2006/relationships/styles" Target="styles.xml"/><Relationship Id="rId9" Type="http://schemas.openxmlformats.org/officeDocument/2006/relationships/hyperlink" Target="https://www.marches-publics.gouv.fr/?page=entreprise.AccueilEntrepris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iWelt7hv2yMMG79c/tj+RBLKx7Q==">AMUW2mV/tsxJ1ML+nt57wIfSMfdEXoK81j4oi5tR0UZJ26IIXH3oJBLEj1NgTSCz7pLRMFqt0OlK4U1M919dv5B6ymkZWr9Ozj/gKyHkzUqqyB7ctsptbPYzzMyyBjVv3RDvO75619wCcCRRDsDIPZ28gNmKu5STNeAYpfo8ZuuU9sDbd78WiwGziIBQZb2FW8YzYpmFZD+KVfSdrUP+MRcD98Ks85GXYBVOsBteVuZZf1q3E1tBKoLO2/n/3y1AXtHe58YBfU7821GRRgUXjjaAcCujbnefh0yA15hzC2FYDQs2KKomGTXJoKFOWzAks+oVrI8rZdyvcQ85uCAGqPFKz+C/EvqHQZJx5NSSh+y72f6gT+7bgzihA+swKonuoBlXagGzhPLmpbUGSIZc3TT7h1sg8veCGA==</go:docsCustomData>
</go:gDocsCustomXmlDataStorage>
</file>

<file path=customXml/itemProps1.xml><?xml version="1.0" encoding="utf-8"?>
<ds:datastoreItem xmlns:ds="http://schemas.openxmlformats.org/officeDocument/2006/customXml" ds:itemID="{B797A9E9-270A-473C-8DC3-AE6D33E2F71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2242</Words>
  <Characters>12334</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GIP FORINVAL</Company>
  <LinksUpToDate>false</LinksUpToDate>
  <CharactersWithSpaces>14547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Guerin</dc:creator>
  <cp:lastModifiedBy>Pierre de Kerimel</cp:lastModifiedBy>
  <cp:revision>4</cp:revision>
  <cp:lastPrinted>2023-03-08T08:42:00Z</cp:lastPrinted>
  <dcterms:created xsi:type="dcterms:W3CDTF">2025-05-12T12:30:00Z</dcterms:created>
  <dcterms:modified xsi:type="dcterms:W3CDTF">2025-05-12T12:47:00Z</dcterms:modified>
</cp:coreProperties>
</file>