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7FC8" w14:textId="5129C124" w:rsidR="00D410F6" w:rsidRPr="00E60553" w:rsidRDefault="00D410F6" w:rsidP="00D410F6">
      <w:pPr>
        <w:tabs>
          <w:tab w:val="left" w:pos="3480"/>
        </w:tabs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</w:rPr>
        <w:tab/>
      </w:r>
      <w:r w:rsidR="00E60553" w:rsidRPr="00E60553">
        <w:rPr>
          <w:b/>
          <w:sz w:val="24"/>
          <w:szCs w:val="24"/>
          <w:u w:val="single"/>
        </w:rPr>
        <w:t xml:space="preserve">Suite : </w:t>
      </w:r>
      <w:r w:rsidRPr="00E60553">
        <w:rPr>
          <w:b/>
          <w:sz w:val="24"/>
          <w:szCs w:val="24"/>
          <w:u w:val="single"/>
        </w:rPr>
        <w:t>Cahier des charges.</w:t>
      </w:r>
    </w:p>
    <w:p w14:paraId="3A641258" w14:textId="77777777" w:rsidR="00D410F6" w:rsidRDefault="00D410F6" w:rsidP="00D410F6">
      <w:pPr>
        <w:tabs>
          <w:tab w:val="left" w:pos="3480"/>
        </w:tabs>
        <w:rPr>
          <w:sz w:val="24"/>
          <w:szCs w:val="24"/>
        </w:rPr>
      </w:pPr>
    </w:p>
    <w:p w14:paraId="2C208905" w14:textId="77777777" w:rsidR="00D410F6" w:rsidRDefault="00D410F6" w:rsidP="00D410F6">
      <w:pPr>
        <w:tabs>
          <w:tab w:val="left" w:pos="34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Produit</w:t>
      </w:r>
      <w:r>
        <w:rPr>
          <w:sz w:val="24"/>
          <w:szCs w:val="24"/>
        </w:rPr>
        <w:t xml:space="preserve"> : </w:t>
      </w:r>
      <w:r w:rsidR="00560527">
        <w:rPr>
          <w:rFonts w:cs="Arial"/>
          <w:sz w:val="24"/>
          <w:szCs w:val="24"/>
        </w:rPr>
        <w:t>Tracteur de pente</w:t>
      </w:r>
    </w:p>
    <w:p w14:paraId="7735507E" w14:textId="77777777" w:rsidR="00D410F6" w:rsidRDefault="00D410F6" w:rsidP="00D410F6">
      <w:pPr>
        <w:tabs>
          <w:tab w:val="left" w:pos="34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Usage, destination du matériel</w:t>
      </w:r>
      <w:r>
        <w:rPr>
          <w:sz w:val="24"/>
          <w:szCs w:val="24"/>
        </w:rPr>
        <w:t> : Usage pédagogique pour la formation initiale (voie scolaire et apprentissage), des classes de Bac Pro option : Espaces verts, mutualisable pour les options agricole</w:t>
      </w:r>
      <w:r w:rsidR="00A934AB">
        <w:rPr>
          <w:sz w:val="24"/>
          <w:szCs w:val="24"/>
        </w:rPr>
        <w:t>s</w:t>
      </w:r>
      <w:r>
        <w:rPr>
          <w:sz w:val="24"/>
          <w:szCs w:val="24"/>
        </w:rPr>
        <w:t xml:space="preserve"> et travaux public</w:t>
      </w:r>
      <w:r w:rsidR="00A934A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8733574" w14:textId="0193A240" w:rsidR="00D410F6" w:rsidRDefault="00D410F6" w:rsidP="00E605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Objectifs généraux</w:t>
      </w:r>
      <w:r>
        <w:rPr>
          <w:sz w:val="24"/>
          <w:szCs w:val="24"/>
        </w:rPr>
        <w:t> :</w:t>
      </w:r>
      <w:r w:rsidR="005605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60527">
        <w:rPr>
          <w:sz w:val="24"/>
          <w:szCs w:val="24"/>
        </w:rPr>
        <w:t xml:space="preserve">L’accroissement permanent des technologies des équipements commercialisés, nécessites une élévation du niveau technique des futurs techniciens, et une adaptation constante des supports pédagogies nécessaire sur le plateau technique. Le </w:t>
      </w:r>
      <w:r>
        <w:rPr>
          <w:sz w:val="24"/>
          <w:szCs w:val="24"/>
        </w:rPr>
        <w:t xml:space="preserve">candidat en baccalauréat professionnel option </w:t>
      </w:r>
      <w:r w:rsidR="00560527">
        <w:rPr>
          <w:sz w:val="24"/>
          <w:szCs w:val="24"/>
        </w:rPr>
        <w:t>espaces vert</w:t>
      </w:r>
      <w:r>
        <w:rPr>
          <w:sz w:val="24"/>
          <w:szCs w:val="24"/>
        </w:rPr>
        <w:t xml:space="preserve"> doit être capable d’intervenir sur </w:t>
      </w:r>
      <w:r w:rsidR="00560527">
        <w:rPr>
          <w:sz w:val="24"/>
          <w:szCs w:val="24"/>
        </w:rPr>
        <w:t>des tracteurs de pente</w:t>
      </w:r>
      <w:r>
        <w:rPr>
          <w:sz w:val="24"/>
          <w:szCs w:val="24"/>
        </w:rPr>
        <w:t>, il doit être capable d’effectuer une mise en route hors production, en sécurité tout en tenant compte de la réglementation, il doit analyser l</w:t>
      </w:r>
      <w:r w:rsidR="00560527">
        <w:rPr>
          <w:sz w:val="24"/>
          <w:szCs w:val="24"/>
        </w:rPr>
        <w:t>es différents sous-systèmes constituant un véhicule de dernière génération (motorisation, transmission, hydraulique, climatisation etc.)</w:t>
      </w:r>
      <w:r>
        <w:rPr>
          <w:sz w:val="24"/>
          <w:szCs w:val="24"/>
        </w:rPr>
        <w:t>. Il doit</w:t>
      </w:r>
      <w:r w:rsidR="00560527">
        <w:rPr>
          <w:sz w:val="24"/>
          <w:szCs w:val="24"/>
        </w:rPr>
        <w:t xml:space="preserve"> pouvoir</w:t>
      </w:r>
      <w:r>
        <w:rPr>
          <w:sz w:val="24"/>
          <w:szCs w:val="24"/>
        </w:rPr>
        <w:t xml:space="preserve"> programmer et diagnostiquer de façon manuelle ou informatisée sur un matériel de technologie de pointe.</w:t>
      </w:r>
    </w:p>
    <w:p w14:paraId="17C41E23" w14:textId="77777777" w:rsidR="00E60553" w:rsidRDefault="00E60553" w:rsidP="00E605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D6507A" w14:textId="77777777" w:rsidR="00D410F6" w:rsidRDefault="00D410F6" w:rsidP="00D410F6">
      <w:pPr>
        <w:tabs>
          <w:tab w:val="left" w:pos="3480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Caractéristiques techniques de l’outil diagnostic</w:t>
      </w:r>
      <w:r>
        <w:rPr>
          <w:sz w:val="24"/>
          <w:szCs w:val="24"/>
        </w:rPr>
        <w:t xml:space="preserve"> : logiciel de dépannage avec dans la mesure du possible un système d’exploitation pour la machine proposée sans durée dans le temps.  </w:t>
      </w:r>
    </w:p>
    <w:p w14:paraId="36DA07AD" w14:textId="77777777" w:rsidR="00D410F6" w:rsidRDefault="00D410F6" w:rsidP="00D410F6">
      <w:pPr>
        <w:tabs>
          <w:tab w:val="left" w:pos="3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documentation technique doit être en français, allemand, anglais sur support informatique.</w:t>
      </w:r>
    </w:p>
    <w:p w14:paraId="656549E4" w14:textId="77777777" w:rsidR="00D410F6" w:rsidRDefault="00D410F6" w:rsidP="00D410F6">
      <w:pPr>
        <w:tabs>
          <w:tab w:val="left" w:pos="348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Elle comprend :</w:t>
      </w:r>
    </w:p>
    <w:p w14:paraId="79D0AC0E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catalogue pièces</w:t>
      </w:r>
      <w:r>
        <w:rPr>
          <w:sz w:val="24"/>
          <w:szCs w:val="24"/>
        </w:rPr>
        <w:t xml:space="preserve"> : Détaillant et identifiant par vues éclatées les éléments composant les ensembles et </w:t>
      </w:r>
      <w:r w:rsidR="00021728">
        <w:rPr>
          <w:sz w:val="24"/>
          <w:szCs w:val="24"/>
        </w:rPr>
        <w:t>sous-ensembles</w:t>
      </w:r>
      <w:r>
        <w:rPr>
          <w:sz w:val="24"/>
          <w:szCs w:val="24"/>
        </w:rPr>
        <w:t xml:space="preserve"> d</w:t>
      </w:r>
      <w:r w:rsidR="00021728">
        <w:rPr>
          <w:sz w:val="24"/>
          <w:szCs w:val="24"/>
        </w:rPr>
        <w:t>u tracteur</w:t>
      </w:r>
      <w:r>
        <w:rPr>
          <w:sz w:val="24"/>
          <w:szCs w:val="24"/>
        </w:rPr>
        <w:t>.</w:t>
      </w:r>
    </w:p>
    <w:p w14:paraId="55659B6E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livret d’entretien</w:t>
      </w:r>
      <w:r>
        <w:rPr>
          <w:sz w:val="24"/>
          <w:szCs w:val="24"/>
        </w:rPr>
        <w:t> : contenant les informations nécessaires à la sécurité, au fonctionnement et à l’entretien d</w:t>
      </w:r>
      <w:r w:rsidR="00021728">
        <w:rPr>
          <w:sz w:val="24"/>
          <w:szCs w:val="24"/>
        </w:rPr>
        <w:t>u tracteur</w:t>
      </w:r>
      <w:r>
        <w:rPr>
          <w:sz w:val="24"/>
          <w:szCs w:val="24"/>
        </w:rPr>
        <w:t>.</w:t>
      </w:r>
    </w:p>
    <w:p w14:paraId="3608BF07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Le manuel technique</w:t>
      </w:r>
      <w:r>
        <w:rPr>
          <w:sz w:val="24"/>
          <w:szCs w:val="24"/>
        </w:rPr>
        <w:t xml:space="preserve"> : Décrivant la méthode de diagnostic et fournissant les informations nécessaires à l’entretien et à la réparation </w:t>
      </w:r>
      <w:r w:rsidR="00021728">
        <w:rPr>
          <w:sz w:val="24"/>
          <w:szCs w:val="24"/>
        </w:rPr>
        <w:t>du tracteur</w:t>
      </w:r>
      <w:r>
        <w:rPr>
          <w:sz w:val="24"/>
          <w:szCs w:val="24"/>
        </w:rPr>
        <w:t>. Celles-ci comprennent les spécifications, les illustrations se rapportant aux procédures de dépose et de repose, aux schémas hydrauliques et électriques.</w:t>
      </w:r>
    </w:p>
    <w:p w14:paraId="089530E2" w14:textId="77777777" w:rsidR="00D410F6" w:rsidRDefault="00D410F6" w:rsidP="00D410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Les barèmes temps réparation </w:t>
      </w:r>
      <w:r>
        <w:rPr>
          <w:sz w:val="24"/>
          <w:szCs w:val="24"/>
        </w:rPr>
        <w:t>: Doivent correspondre au véhicule concerné.</w:t>
      </w:r>
    </w:p>
    <w:p w14:paraId="5E811090" w14:textId="77777777" w:rsidR="00D410F6" w:rsidRDefault="00D410F6" w:rsidP="00D410F6">
      <w:pPr>
        <w:pStyle w:val="Paragraphedeliste"/>
        <w:tabs>
          <w:tab w:val="left" w:pos="3480"/>
        </w:tabs>
        <w:ind w:left="0"/>
        <w:jc w:val="both"/>
        <w:rPr>
          <w:sz w:val="24"/>
          <w:szCs w:val="24"/>
        </w:rPr>
      </w:pPr>
    </w:p>
    <w:p w14:paraId="18654293" w14:textId="77777777" w:rsidR="00D410F6" w:rsidRDefault="00D410F6" w:rsidP="00D410F6">
      <w:pPr>
        <w:pStyle w:val="Paragraphedeliste"/>
        <w:tabs>
          <w:tab w:val="left" w:pos="348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Livraison</w:t>
      </w:r>
      <w:r>
        <w:rPr>
          <w:sz w:val="24"/>
          <w:szCs w:val="24"/>
        </w:rPr>
        <w:t xml:space="preserve"> :</w:t>
      </w:r>
    </w:p>
    <w:p w14:paraId="7FB7C835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déchargement du camion sera réalisé par le transporteur et sous sa responsabilité.</w:t>
      </w:r>
    </w:p>
    <w:p w14:paraId="48888C0B" w14:textId="77777777" w:rsidR="00D410F6" w:rsidRDefault="00D410F6" w:rsidP="00D410F6">
      <w:pPr>
        <w:pStyle w:val="Paragraphedeliste"/>
        <w:tabs>
          <w:tab w:val="left" w:pos="993"/>
        </w:tabs>
        <w:jc w:val="both"/>
        <w:rPr>
          <w:sz w:val="24"/>
          <w:szCs w:val="24"/>
        </w:rPr>
      </w:pPr>
    </w:p>
    <w:p w14:paraId="39716653" w14:textId="77777777" w:rsidR="00D410F6" w:rsidRDefault="00D410F6" w:rsidP="00D410F6">
      <w:pPr>
        <w:pStyle w:val="Paragraphedeliste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Garantie</w:t>
      </w:r>
      <w:r>
        <w:rPr>
          <w:sz w:val="24"/>
          <w:szCs w:val="24"/>
        </w:rPr>
        <w:t> :</w:t>
      </w:r>
    </w:p>
    <w:p w14:paraId="4E6F604F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garantie pièces et main-d’œuvre sera appliquée pour une durée d’un an minimum.</w:t>
      </w:r>
    </w:p>
    <w:p w14:paraId="21CE8E98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garantie légale contre les vices cachés est applicable. Seuls seront exclus de la prise en charge les frais de réparation liés à des dégradations volontaires.</w:t>
      </w:r>
    </w:p>
    <w:p w14:paraId="0C41132C" w14:textId="77777777" w:rsidR="00D410F6" w:rsidRDefault="00D410F6" w:rsidP="00D410F6">
      <w:pPr>
        <w:pStyle w:val="Paragraphedeliste"/>
        <w:tabs>
          <w:tab w:val="left" w:pos="993"/>
        </w:tabs>
        <w:jc w:val="both"/>
        <w:rPr>
          <w:sz w:val="24"/>
          <w:szCs w:val="24"/>
        </w:rPr>
      </w:pPr>
    </w:p>
    <w:p w14:paraId="37892A12" w14:textId="77777777" w:rsidR="00D410F6" w:rsidRDefault="00D410F6" w:rsidP="00D410F6">
      <w:pPr>
        <w:pStyle w:val="Paragraphedeliste"/>
        <w:tabs>
          <w:tab w:val="left" w:pos="348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SAV</w:t>
      </w:r>
      <w:r>
        <w:rPr>
          <w:sz w:val="24"/>
          <w:szCs w:val="24"/>
        </w:rPr>
        <w:t> :</w:t>
      </w:r>
    </w:p>
    <w:p w14:paraId="241FB907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Intervention sous 5 jours en cas de pannes sur la durée de garantie pièces et main d’œuvre.</w:t>
      </w:r>
    </w:p>
    <w:p w14:paraId="7009F5C4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Possibilité de dépannage des dysfonctionnements en ligne.</w:t>
      </w:r>
    </w:p>
    <w:p w14:paraId="49265132" w14:textId="77777777" w:rsidR="00D410F6" w:rsidRDefault="00D410F6" w:rsidP="00D410F6">
      <w:pPr>
        <w:pStyle w:val="Paragraphedeliste"/>
        <w:tabs>
          <w:tab w:val="left" w:pos="3480"/>
        </w:tabs>
        <w:ind w:left="360"/>
        <w:jc w:val="both"/>
        <w:rPr>
          <w:sz w:val="24"/>
          <w:szCs w:val="24"/>
        </w:rPr>
      </w:pPr>
    </w:p>
    <w:p w14:paraId="5E05C1B4" w14:textId="77777777" w:rsidR="00D410F6" w:rsidRDefault="00D410F6" w:rsidP="00D410F6">
      <w:pPr>
        <w:pStyle w:val="Paragraphedeliste"/>
        <w:tabs>
          <w:tab w:val="left" w:pos="348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Conformité</w:t>
      </w:r>
      <w:r>
        <w:rPr>
          <w:sz w:val="24"/>
          <w:szCs w:val="24"/>
        </w:rPr>
        <w:t> :</w:t>
      </w:r>
    </w:p>
    <w:p w14:paraId="1DE50EBA" w14:textId="77777777" w:rsidR="00D410F6" w:rsidRDefault="00D410F6" w:rsidP="00D410F6">
      <w:pPr>
        <w:pStyle w:val="Paragraphedeliste"/>
        <w:numPr>
          <w:ilvl w:val="0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Matériel fourni avec attestation CE de conformité en français.</w:t>
      </w:r>
    </w:p>
    <w:p w14:paraId="7772C477" w14:textId="77777777" w:rsidR="00D410F6" w:rsidRDefault="00D410F6" w:rsidP="00D410F6">
      <w:pPr>
        <w:pStyle w:val="Paragraphedeliste"/>
        <w:tabs>
          <w:tab w:val="left" w:pos="3480"/>
        </w:tabs>
        <w:ind w:left="0"/>
        <w:jc w:val="both"/>
        <w:rPr>
          <w:sz w:val="24"/>
          <w:szCs w:val="24"/>
        </w:rPr>
      </w:pPr>
    </w:p>
    <w:p w14:paraId="08E813B4" w14:textId="77777777" w:rsidR="00D410F6" w:rsidRDefault="00D410F6" w:rsidP="00D410F6">
      <w:pPr>
        <w:pStyle w:val="Paragraphedeliste"/>
        <w:tabs>
          <w:tab w:val="left" w:pos="348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Formation</w:t>
      </w:r>
      <w:r>
        <w:rPr>
          <w:sz w:val="24"/>
          <w:szCs w:val="24"/>
        </w:rPr>
        <w:t> :</w:t>
      </w:r>
    </w:p>
    <w:p w14:paraId="4A488747" w14:textId="77777777" w:rsidR="00D410F6" w:rsidRDefault="00D410F6" w:rsidP="00D410F6">
      <w:r>
        <w:rPr>
          <w:sz w:val="24"/>
          <w:szCs w:val="24"/>
        </w:rPr>
        <w:t xml:space="preserve">Proposition d’une formation sur site (lycée) </w:t>
      </w:r>
      <w:r w:rsidR="00B82A14">
        <w:rPr>
          <w:sz w:val="24"/>
          <w:szCs w:val="24"/>
        </w:rPr>
        <w:t>technologie</w:t>
      </w:r>
      <w:r>
        <w:rPr>
          <w:sz w:val="24"/>
          <w:szCs w:val="24"/>
        </w:rPr>
        <w:t xml:space="preserve"> et diagnostic.</w:t>
      </w:r>
    </w:p>
    <w:p w14:paraId="5B7A930C" w14:textId="77777777" w:rsidR="00D410F6" w:rsidRDefault="00D410F6"/>
    <w:sectPr w:rsidR="00D410F6" w:rsidSect="00A8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474"/>
    <w:multiLevelType w:val="hybridMultilevel"/>
    <w:tmpl w:val="260E69E0"/>
    <w:lvl w:ilvl="0" w:tplc="AE00C2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trike w:val="0"/>
        <w:dstrike w:val="0"/>
        <w:u w:val="none"/>
        <w:effect w:val="none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845CE"/>
    <w:multiLevelType w:val="hybridMultilevel"/>
    <w:tmpl w:val="33FA65D2"/>
    <w:lvl w:ilvl="0" w:tplc="FF4C9D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F6"/>
    <w:rsid w:val="00021728"/>
    <w:rsid w:val="001A0B0E"/>
    <w:rsid w:val="00560527"/>
    <w:rsid w:val="006A282D"/>
    <w:rsid w:val="007A4A1A"/>
    <w:rsid w:val="007B00EB"/>
    <w:rsid w:val="007D68B0"/>
    <w:rsid w:val="00886FD8"/>
    <w:rsid w:val="008A568C"/>
    <w:rsid w:val="0094559D"/>
    <w:rsid w:val="00A934AB"/>
    <w:rsid w:val="00B82A14"/>
    <w:rsid w:val="00BD2C90"/>
    <w:rsid w:val="00D111FB"/>
    <w:rsid w:val="00D32CC8"/>
    <w:rsid w:val="00D410F6"/>
    <w:rsid w:val="00D62D93"/>
    <w:rsid w:val="00D76E66"/>
    <w:rsid w:val="00D862F1"/>
    <w:rsid w:val="00E60553"/>
    <w:rsid w:val="00F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ECE0"/>
  <w15:chartTrackingRefBased/>
  <w15:docId w15:val="{720CB385-9C01-4007-861E-9A860BC5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Valérie Reinhardt</cp:lastModifiedBy>
  <cp:revision>2</cp:revision>
  <dcterms:created xsi:type="dcterms:W3CDTF">2021-12-07T09:12:00Z</dcterms:created>
  <dcterms:modified xsi:type="dcterms:W3CDTF">2021-12-07T09:12:00Z</dcterms:modified>
</cp:coreProperties>
</file>