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2217" w:dyaOrig="2304">
          <v:rect xmlns:o="urn:schemas-microsoft-com:office:office" xmlns:v="urn:schemas-microsoft-com:vml" id="rectole0000000000" style="width:110.850000pt;height:115.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636" w:dyaOrig="967">
          <v:rect xmlns:o="urn:schemas-microsoft-com:office:office" xmlns:v="urn:schemas-microsoft-com:vml" id="rectole0000000001" style="width:81.800000pt;height:48.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bl>
      <w:tblPr/>
      <w:tblGrid>
        <w:gridCol w:w="2869"/>
      </w:tblGrid>
      <w:tr>
        <w:trPr>
          <w:trHeight w:val="1830" w:hRule="auto"/>
          <w:jc w:val="left"/>
        </w:trPr>
        <w:tc>
          <w:tcPr>
            <w:tcW w:w="286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30" w:left="0" w:firstLine="0"/>
        <w:jc w:val="center"/>
        <w:rPr>
          <w:rFonts w:ascii="Arial" w:hAnsi="Arial" w:cs="Arial" w:eastAsia="Arial"/>
          <w:color w:val="auto"/>
          <w:spacing w:val="0"/>
          <w:position w:val="0"/>
          <w:sz w:val="22"/>
          <w:shd w:fill="auto" w:val="clear"/>
        </w:rPr>
      </w:pPr>
    </w:p>
    <w:p>
      <w:pPr>
        <w:spacing w:before="0" w:after="0" w:line="240"/>
        <w:ind w:right="-3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3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3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3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3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 xml:space="preserve">   MARCHE A PROCEDURE ADAPTEE</w:t>
      </w:r>
    </w:p>
    <w:p>
      <w:pPr>
        <w:spacing w:before="0" w:after="0" w:line="240"/>
        <w:ind w:right="-3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POUR LA LOCATION ET LA MAINTENANCE</w:t>
      </w:r>
    </w:p>
    <w:p>
      <w:pPr>
        <w:spacing w:before="0" w:after="0" w:line="240"/>
        <w:ind w:right="-30" w:left="0" w:firstLine="0"/>
        <w:jc w:val="center"/>
        <w:rPr>
          <w:rFonts w:ascii="MetaNormal-Roman" w:hAnsi="MetaNormal-Roman" w:cs="MetaNormal-Roman" w:eastAsia="MetaNormal-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 COPIEUR MULTIFONCTION NUMERIQUE LASER A3 NOIR ET BLANC</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application des articles 28  et 40 du code des marchés publics</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1 : OBJET ET DUREE DU MARCHE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présent marché a pour objet la location et la maintenance d’un copieur multifonction numérique laser A3 noir et blanc pour les besoins de reprographie du collège Ernest Perrier de la Bâthie.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 période retenue est de 4 ans (48 mois) </w:t>
      </w:r>
      <w:r>
        <w:rPr>
          <w:rFonts w:ascii="Times New Roman" w:hAnsi="Times New Roman" w:cs="Times New Roman" w:eastAsia="Times New Roman"/>
          <w:b/>
          <w:color w:val="auto"/>
          <w:spacing w:val="0"/>
          <w:position w:val="0"/>
          <w:sz w:val="24"/>
          <w:shd w:fill="auto" w:val="clear"/>
        </w:rPr>
        <w:t xml:space="preserve">à compter du 1</w:t>
      </w:r>
      <w:r>
        <w:rPr>
          <w:rFonts w:ascii="Times New Roman" w:hAnsi="Times New Roman" w:cs="Times New Roman" w:eastAsia="Times New Roman"/>
          <w:b/>
          <w:color w:val="auto"/>
          <w:spacing w:val="0"/>
          <w:position w:val="0"/>
          <w:sz w:val="24"/>
          <w:shd w:fill="auto" w:val="clear"/>
          <w:vertAlign w:val="superscript"/>
        </w:rPr>
        <w:t xml:space="preserve">er</w:t>
      </w:r>
      <w:r>
        <w:rPr>
          <w:rFonts w:ascii="Times New Roman" w:hAnsi="Times New Roman" w:cs="Times New Roman" w:eastAsia="Times New Roman"/>
          <w:b/>
          <w:color w:val="auto"/>
          <w:spacing w:val="0"/>
          <w:position w:val="0"/>
          <w:sz w:val="24"/>
          <w:shd w:fill="auto" w:val="clear"/>
        </w:rPr>
        <w:t xml:space="preserve"> mai 2019 (fin du contrat au 30 avril  2023).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2 : PERSONNE PUBLIQUE PASSANT LE MARCHE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Collège Ernest Perrier de la Bâthie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260, avenue Perrier de la Bâthie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73400</w:t>
        <w:tab/>
        <w:t xml:space="preserve">UGINE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 : 04.79.37.33.36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Fax : 04.79.37.54.02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Pouvoir adjudicateur : Madame Nathalie LATOUR, Principale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Comptable assignataire : Madame Bernadette Cor-Delorme, Agent Comptable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Pour tout renseignement : Madame Laetitia BOIRARD, Adjoint-gestionnaire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3 : DESCRIPTION DU MATERIEL</w:t>
      </w: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s’agira de matériel neuf (machine principale et accessoires neufs) de conception robuste et d’utilisation simple. L’appareil sera installé dans le local reprographie de la salle des professeurs.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256"/>
        <w:gridCol w:w="4819"/>
      </w:tblGrid>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Appareils– Pédagogie</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Nb copies/minute (impression et copie)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50à60</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Estimation tirage annuel  N/B</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 d’engagement nb copies minimum ou maximum)</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205 000/an</w:t>
            </w:r>
          </w:p>
          <w:p>
            <w:pPr>
              <w:spacing w:before="0" w:after="0" w:line="240"/>
              <w:ind w:right="0" w:left="0" w:firstLine="0"/>
              <w:jc w:val="center"/>
              <w:rPr>
                <w:color w:val="auto"/>
                <w:spacing w:val="0"/>
                <w:position w:val="0"/>
                <w:shd w:fill="auto" w:val="clear"/>
              </w:rPr>
            </w:pP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Chargeur document R/V en 1 seul passage </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Oui</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Alimentation papier</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A3 – A4  70 à 250g/m² Mini</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R/V automatique de la copie illimité</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Réduction – Agrandissement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Zoom de 25 à 400%</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Oui</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Connexion réseau</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Oui</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Copieur</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Noir</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Imprimante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Noir </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Scanner</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Couleur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(formats pdf, xps, tif, jpeg)</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Scan to PC, to email, to serveur, to clé USB</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 de facturation de scan</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Impression</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Noir depuis clé USB et depuis les 4 postes informatiques de la salle des profs</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Codes utilisateurs</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codes utilisateurs (limite de copies, restrictions…)</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Formation</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Forfait formation offert</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Développement durable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consommation réduite (encres / énergie) –faible nocivité des encres - mode de récupération du recyclage des consommables et de l’appareil - engagement de l’entreprise</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Ergonomie</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Facilité d’utilisation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Ecran tactile couleur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Volume sonore réduit</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Pré programmation des fonctions (édition N/B –– Eco (papier recyclé)) du driver sur les postes informatiques des utilisateurs, raccourcis, programmes personnalisés….</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Magasin Papier</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alimentation latérale de 150 feuilles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magasins papier A4 ou A3 d’au moins 500 feuilles</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magasin grande capacité d’au moins 3000 feuilles</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Processeur</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Rapidité de traitement et d’impression</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Forfait livraison/installation/connexion</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offert</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 de frais de désinstallation à la fin du contrat</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candidats doivent proposer des équipements qui répondent aux normes françaises et européennes. Le matériel sera livré avec sa documentation technique en langue française.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5 : MAINTENANCE DES MATERIELS</w:t>
      </w: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maintenance comprend les opérations périodiques trimestrielles de vérification, réglage, entretien courant et remplacement des pièces d’usure ainsi que </w:t>
      </w:r>
      <w:r>
        <w:rPr>
          <w:rFonts w:ascii="Times New Roman" w:hAnsi="Times New Roman" w:cs="Times New Roman" w:eastAsia="Times New Roman"/>
          <w:b/>
          <w:color w:val="auto"/>
          <w:spacing w:val="0"/>
          <w:position w:val="0"/>
          <w:sz w:val="24"/>
          <w:shd w:fill="auto" w:val="clear"/>
        </w:rPr>
        <w:t xml:space="preserve">tous</w:t>
      </w:r>
      <w:r>
        <w:rPr>
          <w:rFonts w:ascii="Times New Roman" w:hAnsi="Times New Roman" w:cs="Times New Roman" w:eastAsia="Times New Roman"/>
          <w:color w:val="auto"/>
          <w:spacing w:val="0"/>
          <w:position w:val="0"/>
          <w:sz w:val="24"/>
          <w:shd w:fill="auto" w:val="clear"/>
        </w:rPr>
        <w:t xml:space="preserve"> les consommables tambours, toners … à l’exception du papier.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maintenance comprend également les interventions ponctuelles du prestataire demandées par l’établissement suite à un dysfonctionnement du matériel.  Le prestataire interviendra dans les 4  heures suivant la demande téléphonique de dépannage.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réparation devra être effectuée dans un délai maximum de 2 jours ouvrés. Dans le cas contraire un matériel de remplacement sera mis à disposition de l’établissement.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6 : PRIX</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Location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prix fixé sera ferme et définitif sur les 48 mois.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sera mentionné HT et TTC et comprendra tous les frais (connexion, livraison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 maintenance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prix des contrats de maintenance seront proposés sous forme de coûts copie ferme incluant tous les consommables sur les 48 mois. L’établissement ne s’engage pas sur un nombre minimal ou maximal de copies.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coût copie A3 doit être égal au coût copie A4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Article 7 : FACTURATION ET PAIEMENTS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prestations feront l’objet d’une facturation trimestrielle  sans frais de gestion supplémentaire après le relevé des compteurs.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facture, dématérialisée sera déposée sur chorus pro, et portera, outre les mentions légales, les indications suivantes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date et numéro de facturation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nom et adresse du créancier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numéro de SIRET et code APE ou la référence d’inscription au répertoire du commerce ou au registre des métiers.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IBAN et le code BIC du prestataire</w:t>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prestations effectuées exactement définies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montant hors TVA des prestations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taux et montant de la TVA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montant total TVA incluse.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première facture annuelle devra être accompagnée d’un relevé d’identité bancaire comportant les coordonnées IBAN et BIC.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règlement des factures se fera par mandat administratif dans le respect du délai légal de paiement de 30 jours.</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8 : MODALITES DE TRANSMISSION ET DATE LIMITE DE DEPOT DES CANDIDATURES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Toute offre incomplète ne pourra être étudiée.</w:t>
      </w:r>
    </w:p>
    <w:p>
      <w:pPr>
        <w:numPr>
          <w:ilvl w:val="0"/>
          <w:numId w:val="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offres seront envoyées en recommandé avec un accusé de réception au Collège Ernest Perrier de la Bâthie avant le 18 mars 2019 à 16h00, à l’attention de la Gestionnaire et porteront la mention « MAPA copieurs, NE PAS OUVRIR ».</w:t>
      </w:r>
    </w:p>
    <w:p>
      <w:pPr>
        <w:numPr>
          <w:ilvl w:val="0"/>
          <w:numId w:val="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offres pourront être envoyées également par mail à l’adresse suivante :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laetitia.boirard@ac-grenoble.fr</w:t>
        </w:r>
      </w:hyperlink>
      <w:r>
        <w:rPr>
          <w:rFonts w:ascii="Times New Roman" w:hAnsi="Times New Roman" w:cs="Times New Roman" w:eastAsia="Times New Roman"/>
          <w:color w:val="auto"/>
          <w:spacing w:val="0"/>
          <w:position w:val="0"/>
          <w:sz w:val="24"/>
          <w:shd w:fill="auto" w:val="clear"/>
        </w:rPr>
        <w:t xml:space="preserve"> avant le,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avant le 18 mars 2019 à 16h00 à l’attention de la Gestionnaire.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dossier comprendra : </w:t>
      </w:r>
    </w:p>
    <w:p>
      <w:pPr>
        <w:numPr>
          <w:ilvl w:val="0"/>
          <w:numId w:val="8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présent cahier des charges daté et signé par le représentant habilité de l’entreprise.</w:t>
      </w:r>
    </w:p>
    <w:p>
      <w:pPr>
        <w:numPr>
          <w:ilvl w:val="0"/>
          <w:numId w:val="8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document joint à la consultation (Caractéristiques techniques proposées) sur lequel figureront toutes les caractéristiques des solutions proposées qui devront être examinées afin d’attribuer le marché.</w:t>
      </w:r>
    </w:p>
    <w:p>
      <w:pPr>
        <w:numPr>
          <w:ilvl w:val="0"/>
          <w:numId w:val="8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L’état annuel des certificats sociaux et fiscaux.</w:t>
      </w:r>
    </w:p>
    <w:p>
      <w:pPr>
        <w:spacing w:before="0" w:after="0" w:line="240"/>
        <w:ind w:right="0" w:left="0" w:firstLine="411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11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11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11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9 : ATTRIBUTION DU MARCHE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L’attribution du marché sera faite à l’offre la mieux disante en fonction des critères énoncés ci-dessous par ordre de priorité décroissant avec leur pondération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prix : 35 %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valeur technique des matériels proposés : 30 %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services associés (délais d’intervention, de réparation, formation des personnels) : 20 %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engagement environnemental de l’offre et de l’entreprise (consommation, circuit de recyclage, …) : 15 %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Dans le cas où plusieurs offres jugées les plus intéressantes seraient considérées comme équivalentes, le pouvoir adjudicateur pourra demander, aux candidats concernés, de préciser le contenu de leurs offres.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10 : CONDITIONS DE LIVRAISON, INSTALLATION ET  GARANTIE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matériel sera livré et installé dans l’établissement à une date et heure fixées d’un commun accord entre les parties. Le prestataire aura repéré les lieux d’installation auparavant. Le copieur devra être en état de fonctionnement </w:t>
      </w:r>
      <w:r>
        <w:rPr>
          <w:rFonts w:ascii="Times New Roman" w:hAnsi="Times New Roman" w:cs="Times New Roman" w:eastAsia="Times New Roman"/>
          <w:b/>
          <w:color w:val="auto"/>
          <w:spacing w:val="0"/>
          <w:position w:val="0"/>
          <w:sz w:val="24"/>
          <w:shd w:fill="auto" w:val="clear"/>
        </w:rPr>
        <w:t xml:space="preserve">le 1er mai 2019</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Les paramétrages des postes auront été effectués et validés auparavant.</w:t>
      </w:r>
    </w:p>
    <w:p>
      <w:pPr>
        <w:numPr>
          <w:ilvl w:val="0"/>
          <w:numId w:val="84"/>
        </w:numPr>
        <w:tabs>
          <w:tab w:val="left" w:pos="708"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p>
    <w:p>
      <w:pPr>
        <w:numPr>
          <w:ilvl w:val="0"/>
          <w:numId w:val="84"/>
        </w:numPr>
        <w:tabs>
          <w:tab w:val="left" w:pos="708"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L’installation du matériel et des « drivers » sur  les postes informatiques des utilisateurs en début de contrat, et leur retrait à la fin du contrat, seront réalisés par la société titulaire du marché sans frais supplémentaire. La compatibilité de ces applications, avec les éditeurs couramment utilisés sur site, devra être vérifiée et validée.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 formation des utilisateurs  doit être prévue (au moins 1 fois par an pendant le contrat)</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12 : PERSONNES A CONTACTER POUR TOUT RENSEIGNEMENT COMPLEMENTAIRE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Madame Laetitia Boirard, Adjoint-gestionnaire du Collège Ernest Perrier de la Bâthie 73400 UGINE au 04.79.37.33.36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 , le ………………………. 2019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représentant habilité de l’entreprise</w:t>
        <w:tab/>
        <w:tab/>
        <w:tab/>
        <w:tab/>
        <w:tab/>
        <w:t xml:space="preserve">Nom Prénom</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 et Cachet de l’entreprise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79">
    <w:abstractNumId w:val="12"/>
  </w:num>
  <w:num w:numId="81">
    <w:abstractNumId w:val="6"/>
  </w:num>
  <w:num w:numId="8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mailto:laetitia.boirard@ac-grenoble.fr" Id="docRId4" Type="http://schemas.openxmlformats.org/officeDocument/2006/relationships/hyperlink"/><Relationship Target="styles.xml" Id="docRId6" Type="http://schemas.openxmlformats.org/officeDocument/2006/relationships/styles"/></Relationships>
</file>