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DA" w:rsidRDefault="00BB7644" w:rsidP="00BB7644">
      <w:pPr>
        <w:ind w:right="-767"/>
      </w:pPr>
      <w:r>
        <w:t xml:space="preserve"> </w:t>
      </w:r>
    </w:p>
    <w:p w:rsidR="00C15405" w:rsidRDefault="00C15405">
      <w:pPr>
        <w:jc w:val="center"/>
        <w:rPr>
          <w:rFonts w:ascii="Arial" w:hAnsi="Arial"/>
          <w:b/>
          <w:sz w:val="28"/>
          <w:szCs w:val="28"/>
        </w:rPr>
      </w:pPr>
    </w:p>
    <w:p w:rsidR="00C15405" w:rsidRDefault="00C15405">
      <w:pPr>
        <w:jc w:val="center"/>
        <w:rPr>
          <w:rFonts w:ascii="Arial" w:hAnsi="Arial"/>
          <w:b/>
          <w:sz w:val="28"/>
          <w:szCs w:val="28"/>
        </w:rPr>
      </w:pPr>
    </w:p>
    <w:p w:rsidR="00C15405" w:rsidRDefault="00C15405">
      <w:pPr>
        <w:jc w:val="center"/>
        <w:rPr>
          <w:rFonts w:ascii="Arial" w:hAnsi="Arial"/>
          <w:b/>
          <w:sz w:val="28"/>
          <w:szCs w:val="28"/>
        </w:rPr>
      </w:pPr>
    </w:p>
    <w:p w:rsidR="00C15405" w:rsidRDefault="00C15405">
      <w:pPr>
        <w:jc w:val="center"/>
        <w:rPr>
          <w:rFonts w:ascii="Arial" w:hAnsi="Arial"/>
          <w:b/>
          <w:sz w:val="28"/>
          <w:szCs w:val="28"/>
        </w:rPr>
      </w:pPr>
    </w:p>
    <w:p w:rsidR="007D2B46" w:rsidRPr="00C15405" w:rsidRDefault="007D2B46">
      <w:pPr>
        <w:jc w:val="center"/>
        <w:rPr>
          <w:rFonts w:ascii="Arial" w:hAnsi="Arial"/>
          <w:b/>
          <w:sz w:val="32"/>
          <w:szCs w:val="32"/>
        </w:rPr>
      </w:pPr>
      <w:r w:rsidRPr="00C15405">
        <w:rPr>
          <w:rFonts w:ascii="Arial" w:hAnsi="Arial"/>
          <w:b/>
          <w:sz w:val="32"/>
          <w:szCs w:val="32"/>
        </w:rPr>
        <w:t xml:space="preserve">MARCHE PUBLIC </w:t>
      </w:r>
    </w:p>
    <w:p w:rsidR="007D2B46" w:rsidRDefault="007D2B46">
      <w:pPr>
        <w:jc w:val="center"/>
        <w:rPr>
          <w:rFonts w:ascii="Arial" w:hAnsi="Arial"/>
        </w:rPr>
      </w:pPr>
    </w:p>
    <w:p w:rsidR="009E57D7" w:rsidRPr="007D2B46" w:rsidRDefault="007D2B46">
      <w:pPr>
        <w:jc w:val="center"/>
        <w:rPr>
          <w:rFonts w:ascii="Arial" w:hAnsi="Arial"/>
        </w:rPr>
      </w:pPr>
      <w:r w:rsidRPr="007D2B46">
        <w:rPr>
          <w:rFonts w:ascii="Arial" w:hAnsi="Arial"/>
        </w:rPr>
        <w:t>Portant sur la f</w:t>
      </w:r>
      <w:r w:rsidR="009E57D7" w:rsidRPr="007D2B46">
        <w:rPr>
          <w:rFonts w:ascii="Arial" w:hAnsi="Arial"/>
        </w:rPr>
        <w:t xml:space="preserve">ourniture de </w:t>
      </w:r>
    </w:p>
    <w:p w:rsidR="0079601D" w:rsidRDefault="00CF2AF9">
      <w:pPr>
        <w:jc w:val="center"/>
        <w:rPr>
          <w:rFonts w:ascii="Arial" w:hAnsi="Arial"/>
          <w:b/>
          <w:sz w:val="24"/>
        </w:rPr>
      </w:pPr>
      <w:r>
        <w:rPr>
          <w:rFonts w:ascii="Arial" w:hAnsi="Arial"/>
          <w:b/>
          <w:sz w:val="24"/>
        </w:rPr>
        <w:t xml:space="preserve">MATERIEL PEDAGOGIQUE : </w:t>
      </w:r>
      <w:r w:rsidR="0079601D">
        <w:rPr>
          <w:rFonts w:ascii="Arial" w:hAnsi="Arial"/>
          <w:b/>
          <w:sz w:val="24"/>
        </w:rPr>
        <w:t>GENERATEUR RAYONS X</w:t>
      </w:r>
      <w:r w:rsidR="006F40AF">
        <w:rPr>
          <w:rFonts w:ascii="Arial" w:hAnsi="Arial"/>
          <w:b/>
          <w:sz w:val="24"/>
        </w:rPr>
        <w:t xml:space="preserve"> </w:t>
      </w:r>
      <w:r w:rsidR="00D3528D">
        <w:rPr>
          <w:rFonts w:ascii="Arial" w:hAnsi="Arial"/>
          <w:b/>
          <w:sz w:val="24"/>
        </w:rPr>
        <w:t xml:space="preserve">Code CPV </w:t>
      </w:r>
      <w:r w:rsidR="003C7F3F">
        <w:rPr>
          <w:rFonts w:ascii="Arial" w:hAnsi="Arial"/>
          <w:b/>
          <w:sz w:val="24"/>
        </w:rPr>
        <w:t>31120000-3</w:t>
      </w:r>
      <w:r w:rsidR="00D3528D">
        <w:rPr>
          <w:rFonts w:ascii="Arial" w:hAnsi="Arial"/>
          <w:b/>
          <w:sz w:val="24"/>
        </w:rPr>
        <w:t xml:space="preserve"> </w:t>
      </w:r>
    </w:p>
    <w:p w:rsidR="00332FDA" w:rsidRPr="00C0532A" w:rsidRDefault="009E57D7">
      <w:pPr>
        <w:jc w:val="center"/>
        <w:rPr>
          <w:rFonts w:ascii="Arial" w:hAnsi="Arial"/>
          <w:sz w:val="18"/>
          <w:szCs w:val="18"/>
        </w:rPr>
      </w:pPr>
      <w:r w:rsidRPr="00C0532A">
        <w:rPr>
          <w:rFonts w:ascii="Arial" w:hAnsi="Arial"/>
          <w:sz w:val="18"/>
          <w:szCs w:val="18"/>
        </w:rPr>
        <w:t>Établi</w:t>
      </w:r>
      <w:r w:rsidR="00332FDA" w:rsidRPr="00C0532A">
        <w:rPr>
          <w:rFonts w:ascii="Arial" w:hAnsi="Arial"/>
          <w:sz w:val="18"/>
          <w:szCs w:val="18"/>
        </w:rPr>
        <w:t xml:space="preserve"> en application </w:t>
      </w:r>
      <w:r w:rsidR="008653EA">
        <w:rPr>
          <w:rFonts w:ascii="Arial" w:hAnsi="Arial"/>
          <w:sz w:val="18"/>
          <w:szCs w:val="18"/>
        </w:rPr>
        <w:t xml:space="preserve">de l’article 27 </w:t>
      </w:r>
      <w:r w:rsidRPr="00C0532A">
        <w:rPr>
          <w:rFonts w:ascii="Arial" w:hAnsi="Arial"/>
          <w:sz w:val="18"/>
          <w:szCs w:val="18"/>
        </w:rPr>
        <w:t xml:space="preserve">du Code des Marchés Publics </w:t>
      </w:r>
    </w:p>
    <w:p w:rsidR="00332FDA" w:rsidRDefault="00332FDA">
      <w:pPr>
        <w:jc w:val="center"/>
        <w:rPr>
          <w:rFonts w:ascii="Arial" w:hAnsi="Arial"/>
        </w:rPr>
      </w:pPr>
    </w:p>
    <w:p w:rsidR="00244D32" w:rsidRDefault="00244D32">
      <w:pPr>
        <w:jc w:val="center"/>
        <w:rPr>
          <w:rFonts w:ascii="Arial" w:hAnsi="Arial"/>
        </w:rPr>
      </w:pPr>
    </w:p>
    <w:p w:rsidR="007D2B46" w:rsidRPr="00C15405" w:rsidRDefault="007D2B46" w:rsidP="007D2B46">
      <w:pPr>
        <w:pStyle w:val="RedNomDoc"/>
        <w:keepNext/>
        <w:shd w:val="pct10" w:color="auto" w:fill="auto"/>
        <w:ind w:right="-1"/>
        <w:rPr>
          <w:rFonts w:cs="Arial"/>
          <w:sz w:val="28"/>
          <w:szCs w:val="28"/>
        </w:rPr>
      </w:pPr>
      <w:r w:rsidRPr="00C15405">
        <w:rPr>
          <w:rFonts w:cs="Arial"/>
          <w:sz w:val="28"/>
          <w:szCs w:val="28"/>
        </w:rPr>
        <w:t xml:space="preserve">CAHIER DES CLAUSES PARTICULIERES-(CCP) </w:t>
      </w:r>
    </w:p>
    <w:p w:rsidR="00332FDA" w:rsidRDefault="00332FDA">
      <w:pPr>
        <w:jc w:val="center"/>
        <w:rPr>
          <w:rFonts w:ascii="Arial" w:hAnsi="Arial"/>
          <w:sz w:val="18"/>
        </w:rPr>
      </w:pPr>
    </w:p>
    <w:p w:rsidR="00332FDA" w:rsidRDefault="00332FDA">
      <w:pPr>
        <w:jc w:val="center"/>
        <w:rPr>
          <w:rFonts w:ascii="Arial" w:hAnsi="Arial"/>
          <w:sz w:val="18"/>
        </w:rPr>
      </w:pPr>
      <w:r w:rsidRPr="004D001D">
        <w:rPr>
          <w:rFonts w:ascii="Arial" w:hAnsi="Arial"/>
          <w:sz w:val="18"/>
        </w:rPr>
        <w:t xml:space="preserve">Le présent Cahier des Clauses Particulières comporte </w:t>
      </w:r>
      <w:r w:rsidR="00A364B8">
        <w:rPr>
          <w:rFonts w:ascii="Arial" w:hAnsi="Arial"/>
          <w:sz w:val="18"/>
        </w:rPr>
        <w:t xml:space="preserve"> </w:t>
      </w:r>
      <w:r w:rsidRPr="004D001D">
        <w:rPr>
          <w:rFonts w:ascii="Arial" w:hAnsi="Arial"/>
          <w:sz w:val="18"/>
        </w:rPr>
        <w:t xml:space="preserve">feuillets numérotés de </w:t>
      </w:r>
      <w:r w:rsidR="00C15405">
        <w:rPr>
          <w:rFonts w:ascii="Arial" w:hAnsi="Arial"/>
          <w:sz w:val="18"/>
        </w:rPr>
        <w:t xml:space="preserve">1 à </w:t>
      </w:r>
      <w:r w:rsidR="00720435">
        <w:rPr>
          <w:rFonts w:ascii="Arial" w:hAnsi="Arial"/>
          <w:sz w:val="18"/>
        </w:rPr>
        <w:t>6</w:t>
      </w:r>
    </w:p>
    <w:p w:rsidR="00B56031" w:rsidRDefault="00B56031">
      <w:pPr>
        <w:jc w:val="center"/>
        <w:rPr>
          <w:rFonts w:ascii="Arial" w:hAnsi="Arial"/>
          <w:sz w:val="18"/>
        </w:rPr>
      </w:pPr>
    </w:p>
    <w:p w:rsidR="00B56031" w:rsidRDefault="00B56031">
      <w:pPr>
        <w:jc w:val="center"/>
        <w:rPr>
          <w:rFonts w:ascii="Arial" w:hAnsi="Arial"/>
          <w:sz w:val="18"/>
        </w:rPr>
      </w:pPr>
    </w:p>
    <w:p w:rsidR="00C15405" w:rsidRDefault="00C15405">
      <w:pPr>
        <w:jc w:val="center"/>
        <w:rPr>
          <w:rFonts w:ascii="Arial" w:hAnsi="Arial"/>
          <w:sz w:val="18"/>
        </w:rPr>
      </w:pPr>
    </w:p>
    <w:p w:rsidR="00C15405" w:rsidRDefault="00C15405">
      <w:pPr>
        <w:jc w:val="center"/>
        <w:rPr>
          <w:rFonts w:ascii="Arial" w:hAnsi="Arial"/>
          <w:sz w:val="18"/>
        </w:rPr>
      </w:pPr>
    </w:p>
    <w:p w:rsidR="00C15405" w:rsidRDefault="00C15405">
      <w:pPr>
        <w:jc w:val="center"/>
        <w:rPr>
          <w:rFonts w:ascii="Arial" w:hAnsi="Arial"/>
          <w:sz w:val="18"/>
        </w:rPr>
      </w:pPr>
    </w:p>
    <w:p w:rsidR="00B56031" w:rsidRPr="005536FC" w:rsidRDefault="00B56031" w:rsidP="00B56031">
      <w:pPr>
        <w:jc w:val="center"/>
        <w:rPr>
          <w:rFonts w:asciiTheme="majorHAnsi" w:hAnsiTheme="majorHAnsi" w:cs="Arial"/>
          <w:b/>
          <w:sz w:val="22"/>
        </w:rPr>
      </w:pPr>
    </w:p>
    <w:p w:rsidR="00B56031" w:rsidRPr="005536FC" w:rsidRDefault="00B56031" w:rsidP="00B56031">
      <w:pPr>
        <w:pStyle w:val="RedTitre1"/>
        <w:keepNext/>
        <w:framePr w:wrap="auto"/>
        <w:widowControl/>
        <w:shd w:val="pct5" w:color="auto" w:fill="auto"/>
        <w:rPr>
          <w:rFonts w:asciiTheme="majorHAnsi" w:hAnsiTheme="majorHAnsi" w:cs="Arial"/>
        </w:rPr>
      </w:pPr>
    </w:p>
    <w:p w:rsidR="00B56031" w:rsidRPr="005536FC" w:rsidRDefault="00B56031" w:rsidP="00B56031">
      <w:pPr>
        <w:pStyle w:val="RedTitre1"/>
        <w:keepNext/>
        <w:framePr w:wrap="auto"/>
        <w:widowControl/>
        <w:shd w:val="pct5" w:color="auto" w:fill="auto"/>
        <w:tabs>
          <w:tab w:val="left" w:pos="2268"/>
        </w:tabs>
        <w:rPr>
          <w:rFonts w:asciiTheme="majorHAnsi" w:hAnsiTheme="majorHAnsi" w:cs="Arial"/>
          <w:sz w:val="24"/>
        </w:rPr>
      </w:pPr>
      <w:r w:rsidRPr="005536FC">
        <w:rPr>
          <w:rFonts w:asciiTheme="majorHAnsi" w:hAnsiTheme="majorHAnsi" w:cs="Arial"/>
          <w:sz w:val="24"/>
        </w:rPr>
        <w:t xml:space="preserve">Personne publique contractante: </w:t>
      </w:r>
    </w:p>
    <w:p w:rsidR="00B56031" w:rsidRPr="005536FC" w:rsidRDefault="00B56031" w:rsidP="00B56031">
      <w:pPr>
        <w:pStyle w:val="RedTitre1"/>
        <w:keepNext/>
        <w:framePr w:wrap="auto"/>
        <w:widowControl/>
        <w:shd w:val="pct5" w:color="auto" w:fill="auto"/>
        <w:tabs>
          <w:tab w:val="left" w:pos="2268"/>
        </w:tabs>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tabs>
          <w:tab w:val="left" w:pos="2268"/>
        </w:tabs>
        <w:jc w:val="left"/>
        <w:rPr>
          <w:rFonts w:asciiTheme="majorHAnsi" w:hAnsiTheme="majorHAnsi" w:cs="Arial"/>
          <w:sz w:val="24"/>
        </w:rPr>
      </w:pPr>
      <w:r w:rsidRPr="005536FC">
        <w:rPr>
          <w:rFonts w:asciiTheme="majorHAnsi" w:hAnsiTheme="majorHAnsi" w:cs="Arial"/>
          <w:sz w:val="24"/>
        </w:rPr>
        <w:t xml:space="preserve">Dénomination : lycée </w:t>
      </w:r>
      <w:r w:rsidR="004C2DD9">
        <w:rPr>
          <w:rFonts w:asciiTheme="majorHAnsi" w:hAnsiTheme="majorHAnsi" w:cs="Arial"/>
          <w:sz w:val="24"/>
        </w:rPr>
        <w:t>Antoine Bourdelle</w:t>
      </w:r>
    </w:p>
    <w:p w:rsidR="00B56031" w:rsidRPr="005536FC" w:rsidRDefault="00B56031" w:rsidP="00B56031">
      <w:pPr>
        <w:pStyle w:val="RedTitre1"/>
        <w:keepNext/>
        <w:framePr w:wrap="auto"/>
        <w:widowControl/>
        <w:shd w:val="pct5" w:color="auto" w:fill="auto"/>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tabs>
          <w:tab w:val="left" w:pos="2835"/>
          <w:tab w:val="left" w:pos="4536"/>
        </w:tabs>
        <w:jc w:val="left"/>
        <w:rPr>
          <w:rFonts w:asciiTheme="majorHAnsi" w:hAnsiTheme="majorHAnsi" w:cs="Arial"/>
          <w:sz w:val="24"/>
        </w:rPr>
      </w:pPr>
      <w:r w:rsidRPr="005536FC">
        <w:rPr>
          <w:rFonts w:asciiTheme="majorHAnsi" w:hAnsiTheme="majorHAnsi" w:cs="Arial"/>
          <w:sz w:val="24"/>
        </w:rPr>
        <w:t xml:space="preserve">Type d'acheteur public :  </w:t>
      </w:r>
      <w:r w:rsidRPr="005536FC">
        <w:rPr>
          <w:rFonts w:asciiTheme="majorHAnsi" w:hAnsiTheme="majorHAnsi" w:cs="Arial"/>
          <w:sz w:val="24"/>
        </w:rPr>
        <w:tab/>
        <w:t xml:space="preserve"> Etat : </w:t>
      </w:r>
      <w:r w:rsidRPr="005536FC">
        <w:rPr>
          <w:rFonts w:asciiTheme="majorHAnsi" w:hAnsiTheme="majorHAnsi" w:cs="Arial"/>
          <w:sz w:val="24"/>
          <w:bdr w:val="single" w:sz="4" w:space="0" w:color="auto"/>
        </w:rPr>
        <w:t>__</w:t>
      </w:r>
      <w:r w:rsidRPr="005536FC">
        <w:rPr>
          <w:rFonts w:asciiTheme="majorHAnsi" w:hAnsiTheme="majorHAnsi" w:cs="Arial"/>
          <w:sz w:val="24"/>
        </w:rPr>
        <w:tab/>
        <w:t xml:space="preserve">Collectivité territoriale </w:t>
      </w:r>
      <w:r w:rsidR="00A17EC6" w:rsidRPr="005536FC">
        <w:rPr>
          <w:rFonts w:asciiTheme="majorHAnsi" w:hAnsiTheme="majorHAnsi" w:cs="Arial"/>
          <w:sz w:val="24"/>
        </w:rPr>
        <w:t xml:space="preserve">: </w:t>
      </w:r>
      <w:r w:rsidR="00A17EC6" w:rsidRPr="005536FC">
        <w:rPr>
          <w:rFonts w:asciiTheme="majorHAnsi" w:hAnsiTheme="majorHAnsi" w:cs="Arial"/>
          <w:sz w:val="24"/>
          <w:bdr w:val="single" w:sz="4" w:space="0" w:color="auto"/>
        </w:rPr>
        <w:t>X</w:t>
      </w:r>
      <w:r w:rsidRPr="005536FC">
        <w:rPr>
          <w:rFonts w:asciiTheme="majorHAnsi" w:hAnsiTheme="majorHAnsi" w:cs="Arial"/>
          <w:sz w:val="24"/>
          <w:bdr w:val="single" w:sz="4" w:space="0" w:color="auto"/>
        </w:rPr>
        <w:t xml:space="preserve">  </w:t>
      </w:r>
    </w:p>
    <w:p w:rsidR="00B56031" w:rsidRPr="005536FC" w:rsidRDefault="00B56031" w:rsidP="00B56031">
      <w:pPr>
        <w:pStyle w:val="RedTitre1"/>
        <w:keepNext/>
        <w:framePr w:wrap="auto"/>
        <w:widowControl/>
        <w:shd w:val="pct5" w:color="auto" w:fill="auto"/>
        <w:tabs>
          <w:tab w:val="left" w:pos="2835"/>
          <w:tab w:val="left" w:pos="4536"/>
        </w:tabs>
        <w:jc w:val="left"/>
        <w:rPr>
          <w:rFonts w:asciiTheme="majorHAnsi" w:hAnsiTheme="majorHAnsi" w:cs="Arial"/>
          <w:sz w:val="24"/>
        </w:rPr>
      </w:pPr>
    </w:p>
    <w:p w:rsidR="00B56031" w:rsidRPr="005536FC" w:rsidRDefault="00B56031" w:rsidP="00B56031">
      <w:pPr>
        <w:pStyle w:val="RedTitre1"/>
        <w:keepNext/>
        <w:framePr w:wrap="auto"/>
        <w:widowControl/>
        <w:shd w:val="pct5" w:color="auto" w:fill="auto"/>
        <w:jc w:val="left"/>
        <w:rPr>
          <w:rFonts w:asciiTheme="majorHAnsi" w:hAnsiTheme="majorHAnsi" w:cs="Arial"/>
          <w:sz w:val="24"/>
        </w:rPr>
      </w:pPr>
      <w:r w:rsidRPr="005536FC">
        <w:rPr>
          <w:rFonts w:asciiTheme="majorHAnsi" w:hAnsiTheme="majorHAnsi" w:cs="Arial"/>
          <w:sz w:val="24"/>
        </w:rPr>
        <w:t xml:space="preserve">Adresse - ville - Pays : </w:t>
      </w:r>
      <w:r w:rsidR="004C2DD9">
        <w:rPr>
          <w:rFonts w:asciiTheme="majorHAnsi" w:hAnsiTheme="majorHAnsi" w:cs="Arial"/>
          <w:sz w:val="24"/>
        </w:rPr>
        <w:t>3 bd Edouard Herriot 82000 MONTAUBAN</w:t>
      </w:r>
    </w:p>
    <w:p w:rsidR="00B56031" w:rsidRPr="005536FC" w:rsidRDefault="00B56031" w:rsidP="00B56031">
      <w:pPr>
        <w:pStyle w:val="RedTitre1"/>
        <w:keepNext/>
        <w:framePr w:wrap="auto"/>
        <w:widowControl/>
        <w:shd w:val="pct5" w:color="auto" w:fill="auto"/>
        <w:jc w:val="left"/>
        <w:rPr>
          <w:rFonts w:asciiTheme="majorHAnsi" w:hAnsiTheme="majorHAnsi" w:cs="Arial"/>
          <w:b w:val="0"/>
          <w:sz w:val="24"/>
        </w:rPr>
      </w:pPr>
    </w:p>
    <w:p w:rsidR="00B56031" w:rsidRPr="005536FC" w:rsidRDefault="00B56031" w:rsidP="00165198">
      <w:pPr>
        <w:pStyle w:val="RedTitre1"/>
        <w:keepNext/>
        <w:framePr w:wrap="auto"/>
        <w:widowControl/>
        <w:shd w:val="pct5" w:color="auto" w:fill="auto"/>
        <w:tabs>
          <w:tab w:val="left" w:pos="2835"/>
          <w:tab w:val="left" w:pos="5954"/>
        </w:tabs>
        <w:jc w:val="left"/>
        <w:rPr>
          <w:rFonts w:asciiTheme="majorHAnsi" w:hAnsiTheme="majorHAnsi" w:cs="Arial"/>
          <w:sz w:val="24"/>
        </w:rPr>
      </w:pPr>
      <w:r w:rsidRPr="005536FC">
        <w:rPr>
          <w:rFonts w:asciiTheme="majorHAnsi" w:hAnsiTheme="majorHAnsi" w:cs="Arial"/>
          <w:sz w:val="24"/>
        </w:rPr>
        <w:t xml:space="preserve">Téléphone : </w:t>
      </w:r>
      <w:r w:rsidR="004C2DD9">
        <w:rPr>
          <w:rFonts w:asciiTheme="majorHAnsi" w:hAnsiTheme="majorHAnsi" w:cs="Arial"/>
          <w:sz w:val="24"/>
        </w:rPr>
        <w:t>0567059014</w:t>
      </w:r>
      <w:r w:rsidRPr="005536FC">
        <w:rPr>
          <w:rFonts w:asciiTheme="majorHAnsi" w:hAnsiTheme="majorHAnsi" w:cs="Arial"/>
          <w:sz w:val="24"/>
        </w:rPr>
        <w:t xml:space="preserve"> Télécopie : </w:t>
      </w:r>
      <w:r w:rsidR="004C2DD9">
        <w:rPr>
          <w:rFonts w:asciiTheme="majorHAnsi" w:hAnsiTheme="majorHAnsi" w:cs="Arial"/>
          <w:sz w:val="24"/>
        </w:rPr>
        <w:t>0563926349</w:t>
      </w:r>
    </w:p>
    <w:p w:rsidR="00B56031" w:rsidRPr="005536FC" w:rsidRDefault="00B56031" w:rsidP="00B56031">
      <w:pPr>
        <w:pStyle w:val="RedTitre1"/>
        <w:keepNext/>
        <w:framePr w:wrap="auto"/>
        <w:widowControl/>
        <w:shd w:val="pct5" w:color="auto" w:fill="auto"/>
        <w:tabs>
          <w:tab w:val="left" w:pos="2835"/>
          <w:tab w:val="left" w:pos="5954"/>
        </w:tabs>
        <w:jc w:val="left"/>
        <w:rPr>
          <w:rFonts w:asciiTheme="majorHAnsi" w:hAnsiTheme="majorHAnsi" w:cs="Arial"/>
          <w:sz w:val="24"/>
        </w:rPr>
      </w:pPr>
      <w:r w:rsidRPr="005536FC">
        <w:rPr>
          <w:rFonts w:asciiTheme="majorHAnsi" w:hAnsiTheme="majorHAnsi" w:cs="Arial"/>
          <w:sz w:val="24"/>
        </w:rPr>
        <w:t xml:space="preserve">Courriel : </w:t>
      </w:r>
      <w:r w:rsidR="004C2DD9">
        <w:rPr>
          <w:rFonts w:asciiTheme="majorHAnsi" w:hAnsiTheme="majorHAnsi" w:cs="Arial"/>
          <w:sz w:val="24"/>
        </w:rPr>
        <w:t>intendance.bourdelle@ac-toulouse</w:t>
      </w:r>
      <w:r w:rsidRPr="005536FC">
        <w:rPr>
          <w:rFonts w:asciiTheme="majorHAnsi" w:hAnsiTheme="majorHAnsi" w:cs="Arial"/>
          <w:sz w:val="24"/>
        </w:rPr>
        <w:t>.fr</w:t>
      </w:r>
    </w:p>
    <w:p w:rsidR="00B56031" w:rsidRPr="005536FC" w:rsidRDefault="00B56031" w:rsidP="00B56031">
      <w:pPr>
        <w:pStyle w:val="RedTitre1"/>
        <w:keepNext/>
        <w:framePr w:wrap="auto"/>
        <w:widowControl/>
        <w:shd w:val="pct5" w:color="auto" w:fill="auto"/>
        <w:rPr>
          <w:rFonts w:asciiTheme="majorHAnsi" w:hAnsiTheme="majorHAnsi" w:cs="Arial"/>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B56031" w:rsidRDefault="00B56031">
      <w:pPr>
        <w:jc w:val="center"/>
        <w:rPr>
          <w:rFonts w:ascii="Arial" w:hAnsi="Arial"/>
          <w:sz w:val="18"/>
        </w:rPr>
      </w:pPr>
    </w:p>
    <w:p w:rsidR="00332FDA" w:rsidRDefault="00332FDA">
      <w:pPr>
        <w:jc w:val="center"/>
        <w:rPr>
          <w:rFonts w:ascii="Arial" w:hAnsi="Arial"/>
          <w:sz w:val="16"/>
        </w:rPr>
      </w:pPr>
      <w:r>
        <w:rPr>
          <w:rFonts w:ascii="Arial" w:hAnsi="Arial"/>
          <w:sz w:val="16"/>
        </w:rPr>
        <w:t>.</w:t>
      </w:r>
    </w:p>
    <w:p w:rsidR="009E57D7" w:rsidRDefault="009E57D7">
      <w:pPr>
        <w:overflowPunct/>
        <w:autoSpaceDE/>
        <w:autoSpaceDN/>
        <w:adjustRightInd/>
        <w:textAlignment w:val="auto"/>
        <w:rPr>
          <w:rFonts w:ascii="Arial" w:hAnsi="Arial"/>
          <w:b/>
          <w:sz w:val="24"/>
        </w:rPr>
      </w:pPr>
      <w:r>
        <w:rPr>
          <w:rFonts w:ascii="Arial" w:hAnsi="Arial"/>
          <w:b/>
          <w:sz w:val="24"/>
        </w:rPr>
        <w:br w:type="page"/>
      </w:r>
    </w:p>
    <w:p w:rsidR="009E57D7" w:rsidRDefault="009E57D7">
      <w:pPr>
        <w:jc w:val="both"/>
        <w:rPr>
          <w:rFonts w:ascii="Arial" w:hAnsi="Arial"/>
          <w:b/>
          <w:sz w:val="24"/>
        </w:rPr>
      </w:pPr>
    </w:p>
    <w:p w:rsidR="009E57D7" w:rsidRDefault="009E57D7">
      <w:pPr>
        <w:jc w:val="both"/>
        <w:rPr>
          <w:rFonts w:ascii="Arial" w:hAnsi="Arial"/>
          <w:b/>
          <w:sz w:val="24"/>
        </w:rPr>
      </w:pPr>
    </w:p>
    <w:sdt>
      <w:sdtPr>
        <w:rPr>
          <w:rFonts w:ascii="Times New Roman" w:eastAsia="Times New Roman" w:hAnsi="Times New Roman" w:cs="Times New Roman"/>
          <w:b w:val="0"/>
          <w:bCs w:val="0"/>
          <w:color w:val="auto"/>
          <w:sz w:val="20"/>
          <w:szCs w:val="20"/>
          <w:lang w:eastAsia="fr-FR"/>
        </w:rPr>
        <w:id w:val="95814130"/>
        <w:docPartObj>
          <w:docPartGallery w:val="Table of Contents"/>
          <w:docPartUnique/>
        </w:docPartObj>
      </w:sdtPr>
      <w:sdtContent>
        <w:p w:rsidR="00143573" w:rsidRDefault="00143573">
          <w:pPr>
            <w:pStyle w:val="En-ttedetabledesmatires"/>
          </w:pPr>
          <w:r>
            <w:t>Sommaire</w:t>
          </w:r>
        </w:p>
        <w:p w:rsidR="00A2716B" w:rsidRPr="00A2716B" w:rsidRDefault="00A2716B" w:rsidP="00A2716B">
          <w:pPr>
            <w:rPr>
              <w:lang w:eastAsia="en-US"/>
            </w:rPr>
          </w:pPr>
        </w:p>
        <w:p w:rsidR="001E03AC" w:rsidRDefault="009032A4">
          <w:pPr>
            <w:pStyle w:val="TM3"/>
            <w:tabs>
              <w:tab w:val="right" w:leader="dot" w:pos="9912"/>
            </w:tabs>
            <w:rPr>
              <w:rFonts w:asciiTheme="minorHAnsi" w:eastAsiaTheme="minorEastAsia" w:hAnsiTheme="minorHAnsi" w:cstheme="minorBidi"/>
              <w:noProof/>
              <w:sz w:val="22"/>
              <w:szCs w:val="22"/>
            </w:rPr>
          </w:pPr>
          <w:r>
            <w:fldChar w:fldCharType="begin"/>
          </w:r>
          <w:r w:rsidR="00143573">
            <w:instrText xml:space="preserve"> TOC \o "1-3" \h \z \u </w:instrText>
          </w:r>
          <w:r>
            <w:fldChar w:fldCharType="separate"/>
          </w:r>
          <w:hyperlink w:anchor="_Toc440976884" w:history="1">
            <w:r w:rsidR="001E03AC" w:rsidRPr="006D4C2C">
              <w:rPr>
                <w:rStyle w:val="Lienhypertexte"/>
                <w:noProof/>
              </w:rPr>
              <w:t>Article 1 : Objet du marché</w:t>
            </w:r>
            <w:r w:rsidR="001E03AC">
              <w:rPr>
                <w:noProof/>
                <w:webHidden/>
              </w:rPr>
              <w:tab/>
            </w:r>
            <w:r>
              <w:rPr>
                <w:noProof/>
                <w:webHidden/>
              </w:rPr>
              <w:fldChar w:fldCharType="begin"/>
            </w:r>
            <w:r w:rsidR="001E03AC">
              <w:rPr>
                <w:noProof/>
                <w:webHidden/>
              </w:rPr>
              <w:instrText xml:space="preserve"> PAGEREF _Toc440976884 \h </w:instrText>
            </w:r>
            <w:r>
              <w:rPr>
                <w:noProof/>
                <w:webHidden/>
              </w:rPr>
            </w:r>
            <w:r>
              <w:rPr>
                <w:noProof/>
                <w:webHidden/>
              </w:rPr>
              <w:fldChar w:fldCharType="separate"/>
            </w:r>
            <w:r w:rsidR="003E5031">
              <w:rPr>
                <w:noProof/>
                <w:webHidden/>
              </w:rPr>
              <w:t>3</w:t>
            </w:r>
            <w:r>
              <w:rPr>
                <w:noProof/>
                <w:webHidden/>
              </w:rPr>
              <w:fldChar w:fldCharType="end"/>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85" w:history="1">
            <w:r w:rsidR="001E03AC" w:rsidRPr="006D4C2C">
              <w:rPr>
                <w:rStyle w:val="Lienhypertexte"/>
                <w:noProof/>
              </w:rPr>
              <w:t>Article 2 : Documents contractuels</w:t>
            </w:r>
            <w:r w:rsidR="001E03AC">
              <w:rPr>
                <w:noProof/>
                <w:webHidden/>
              </w:rPr>
              <w:tab/>
            </w:r>
            <w:r>
              <w:rPr>
                <w:noProof/>
                <w:webHidden/>
              </w:rPr>
              <w:fldChar w:fldCharType="begin"/>
            </w:r>
            <w:r w:rsidR="001E03AC">
              <w:rPr>
                <w:noProof/>
                <w:webHidden/>
              </w:rPr>
              <w:instrText xml:space="preserve"> PAGEREF _Toc440976885 \h </w:instrText>
            </w:r>
            <w:r>
              <w:rPr>
                <w:noProof/>
                <w:webHidden/>
              </w:rPr>
            </w:r>
            <w:r>
              <w:rPr>
                <w:noProof/>
                <w:webHidden/>
              </w:rPr>
              <w:fldChar w:fldCharType="separate"/>
            </w:r>
            <w:r w:rsidR="003E5031">
              <w:rPr>
                <w:noProof/>
                <w:webHidden/>
              </w:rPr>
              <w:t>3</w:t>
            </w:r>
            <w:r>
              <w:rPr>
                <w:noProof/>
                <w:webHidden/>
              </w:rPr>
              <w:fldChar w:fldCharType="end"/>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86" w:history="1">
            <w:r w:rsidR="001E03AC" w:rsidRPr="006D4C2C">
              <w:rPr>
                <w:rStyle w:val="Lienhypertexte"/>
                <w:noProof/>
              </w:rPr>
              <w:t>Article3 : Modalités d’exécution</w:t>
            </w:r>
            <w:r w:rsidR="001E03AC">
              <w:rPr>
                <w:noProof/>
                <w:webHidden/>
              </w:rPr>
              <w:tab/>
            </w:r>
            <w:r>
              <w:rPr>
                <w:noProof/>
                <w:webHidden/>
              </w:rPr>
              <w:fldChar w:fldCharType="begin"/>
            </w:r>
            <w:r w:rsidR="001E03AC">
              <w:rPr>
                <w:noProof/>
                <w:webHidden/>
              </w:rPr>
              <w:instrText xml:space="preserve"> PAGEREF _Toc440976886 \h </w:instrText>
            </w:r>
            <w:r>
              <w:rPr>
                <w:noProof/>
                <w:webHidden/>
              </w:rPr>
            </w:r>
            <w:r>
              <w:rPr>
                <w:noProof/>
                <w:webHidden/>
              </w:rPr>
              <w:fldChar w:fldCharType="separate"/>
            </w:r>
            <w:r w:rsidR="003E5031">
              <w:rPr>
                <w:noProof/>
                <w:webHidden/>
              </w:rPr>
              <w:t>3</w:t>
            </w:r>
            <w:r>
              <w:rPr>
                <w:noProof/>
                <w:webHidden/>
              </w:rPr>
              <w:fldChar w:fldCharType="end"/>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87" w:history="1">
            <w:r w:rsidR="001E03AC" w:rsidRPr="006D4C2C">
              <w:rPr>
                <w:rStyle w:val="Lienhypertexte"/>
                <w:noProof/>
              </w:rPr>
              <w:t>Article 4: Sous-traitance</w:t>
            </w:r>
            <w:r w:rsidR="001E03AC">
              <w:rPr>
                <w:noProof/>
                <w:webHidden/>
              </w:rPr>
              <w:tab/>
            </w:r>
            <w:r>
              <w:rPr>
                <w:noProof/>
                <w:webHidden/>
              </w:rPr>
              <w:fldChar w:fldCharType="begin"/>
            </w:r>
            <w:r w:rsidR="001E03AC">
              <w:rPr>
                <w:noProof/>
                <w:webHidden/>
              </w:rPr>
              <w:instrText xml:space="preserve"> PAGEREF _Toc440976887 \h </w:instrText>
            </w:r>
            <w:r>
              <w:rPr>
                <w:noProof/>
                <w:webHidden/>
              </w:rPr>
            </w:r>
            <w:r>
              <w:rPr>
                <w:noProof/>
                <w:webHidden/>
              </w:rPr>
              <w:fldChar w:fldCharType="separate"/>
            </w:r>
            <w:r w:rsidR="003E5031">
              <w:rPr>
                <w:noProof/>
                <w:webHidden/>
              </w:rPr>
              <w:t>3</w:t>
            </w:r>
            <w:r>
              <w:rPr>
                <w:noProof/>
                <w:webHidden/>
              </w:rPr>
              <w:fldChar w:fldCharType="end"/>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88" w:history="1">
            <w:r w:rsidR="001E03AC" w:rsidRPr="006D4C2C">
              <w:rPr>
                <w:rStyle w:val="Lienhypertexte"/>
                <w:noProof/>
              </w:rPr>
              <w:t xml:space="preserve">Article 5: </w:t>
            </w:r>
            <w:r w:rsidR="00C15405">
              <w:rPr>
                <w:rStyle w:val="Lienhypertexte"/>
                <w:noProof/>
              </w:rPr>
              <w:t>Descriptif technique</w:t>
            </w:r>
            <w:r w:rsidR="001E03AC">
              <w:rPr>
                <w:noProof/>
                <w:webHidden/>
              </w:rPr>
              <w:tab/>
            </w:r>
            <w:r w:rsidR="00C15405">
              <w:rPr>
                <w:noProof/>
                <w:webHidden/>
              </w:rPr>
              <w:t>4</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0" w:history="1">
            <w:r w:rsidR="00A2716B">
              <w:rPr>
                <w:rStyle w:val="Lienhypertexte"/>
                <w:noProof/>
              </w:rPr>
              <w:t>Article 6</w:t>
            </w:r>
            <w:r w:rsidR="001E03AC" w:rsidRPr="006D4C2C">
              <w:rPr>
                <w:rStyle w:val="Lienhypertexte"/>
                <w:noProof/>
              </w:rPr>
              <w:t xml:space="preserve"> : Modalités d’établissement des prix</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1" w:history="1">
            <w:r w:rsidR="00A2716B">
              <w:rPr>
                <w:rStyle w:val="Lienhypertexte"/>
                <w:noProof/>
              </w:rPr>
              <w:t>Article 7</w:t>
            </w:r>
            <w:r w:rsidR="001E03AC" w:rsidRPr="006D4C2C">
              <w:rPr>
                <w:rStyle w:val="Lienhypertexte"/>
                <w:noProof/>
              </w:rPr>
              <w:t xml:space="preserve"> Garantie</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2" w:history="1">
            <w:r w:rsidR="00A2716B">
              <w:rPr>
                <w:rStyle w:val="Lienhypertexte"/>
                <w:noProof/>
              </w:rPr>
              <w:t>Article 8</w:t>
            </w:r>
            <w:r w:rsidR="001E03AC" w:rsidRPr="006D4C2C">
              <w:rPr>
                <w:rStyle w:val="Lienhypertexte"/>
                <w:noProof/>
              </w:rPr>
              <w:t xml:space="preserve"> Cautionnement</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3" w:history="1">
            <w:r w:rsidR="00A2716B">
              <w:rPr>
                <w:rStyle w:val="Lienhypertexte"/>
                <w:noProof/>
              </w:rPr>
              <w:t>Article 9</w:t>
            </w:r>
            <w:r w:rsidR="001E03AC" w:rsidRPr="006D4C2C">
              <w:rPr>
                <w:rStyle w:val="Lienhypertexte"/>
                <w:noProof/>
              </w:rPr>
              <w:t xml:space="preserve"> Avance forfaitaire</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4" w:history="1">
            <w:r w:rsidR="00A2716B">
              <w:rPr>
                <w:rStyle w:val="Lienhypertexte"/>
                <w:noProof/>
              </w:rPr>
              <w:t>Article 10</w:t>
            </w:r>
            <w:r w:rsidR="001E03AC" w:rsidRPr="006D4C2C">
              <w:rPr>
                <w:rStyle w:val="Lienhypertexte"/>
                <w:noProof/>
              </w:rPr>
              <w:t xml:space="preserve"> : Acomptes et paiements partiels</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5" w:history="1">
            <w:r w:rsidR="00A2716B">
              <w:rPr>
                <w:rStyle w:val="Lienhypertexte"/>
                <w:noProof/>
              </w:rPr>
              <w:t>Article 11</w:t>
            </w:r>
            <w:r w:rsidR="001E03AC" w:rsidRPr="006D4C2C">
              <w:rPr>
                <w:rStyle w:val="Lienhypertexte"/>
                <w:noProof/>
              </w:rPr>
              <w:t xml:space="preserve"> Paiement et établissement de la facture</w:t>
            </w:r>
            <w:r w:rsidR="001E03AC">
              <w:rPr>
                <w:noProof/>
                <w:webHidden/>
              </w:rPr>
              <w:tab/>
            </w:r>
            <w:r w:rsidR="00343242">
              <w:rPr>
                <w:noProof/>
                <w:webHidden/>
              </w:rPr>
              <w:t>5</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898" w:history="1">
            <w:r w:rsidR="00A2716B">
              <w:rPr>
                <w:rStyle w:val="Lienhypertexte"/>
                <w:noProof/>
              </w:rPr>
              <w:t>Article 12</w:t>
            </w:r>
            <w:r w:rsidR="001E03AC" w:rsidRPr="006D4C2C">
              <w:rPr>
                <w:rStyle w:val="Lienhypertexte"/>
                <w:noProof/>
              </w:rPr>
              <w:t xml:space="preserve"> Droit de visite</w:t>
            </w:r>
            <w:r w:rsidR="001E03AC">
              <w:rPr>
                <w:noProof/>
                <w:webHidden/>
              </w:rPr>
              <w:tab/>
            </w:r>
            <w:r w:rsidR="00343242">
              <w:rPr>
                <w:noProof/>
                <w:webHidden/>
              </w:rPr>
              <w:t>6</w:t>
            </w:r>
          </w:hyperlink>
        </w:p>
        <w:p w:rsidR="001E03AC" w:rsidRDefault="009032A4">
          <w:pPr>
            <w:pStyle w:val="TM3"/>
            <w:tabs>
              <w:tab w:val="right" w:leader="dot" w:pos="9912"/>
            </w:tabs>
            <w:rPr>
              <w:rFonts w:asciiTheme="minorHAnsi" w:eastAsiaTheme="minorEastAsia" w:hAnsiTheme="minorHAnsi" w:cstheme="minorBidi"/>
              <w:noProof/>
              <w:sz w:val="22"/>
              <w:szCs w:val="22"/>
            </w:rPr>
          </w:pPr>
          <w:hyperlink w:anchor="_Toc440976900" w:history="1">
            <w:r w:rsidR="00A2716B">
              <w:rPr>
                <w:rStyle w:val="Lienhypertexte"/>
                <w:noProof/>
              </w:rPr>
              <w:t>Article 13</w:t>
            </w:r>
            <w:r w:rsidR="001E03AC" w:rsidRPr="006D4C2C">
              <w:rPr>
                <w:rStyle w:val="Lienhypertexte"/>
                <w:noProof/>
              </w:rPr>
              <w:t xml:space="preserve"> Dispositions particulières</w:t>
            </w:r>
            <w:r w:rsidR="001E03AC">
              <w:rPr>
                <w:noProof/>
                <w:webHidden/>
              </w:rPr>
              <w:tab/>
            </w:r>
            <w:r w:rsidR="00343242">
              <w:rPr>
                <w:noProof/>
                <w:webHidden/>
              </w:rPr>
              <w:t>6</w:t>
            </w:r>
          </w:hyperlink>
        </w:p>
        <w:p w:rsidR="00143573" w:rsidRDefault="009032A4">
          <w:r>
            <w:fldChar w:fldCharType="end"/>
          </w:r>
        </w:p>
      </w:sdtContent>
    </w:sdt>
    <w:p w:rsidR="009E57D7" w:rsidRDefault="009E57D7">
      <w:pPr>
        <w:jc w:val="both"/>
        <w:rPr>
          <w:rFonts w:ascii="Arial" w:hAnsi="Arial"/>
          <w:b/>
          <w:sz w:val="24"/>
        </w:rPr>
      </w:pPr>
    </w:p>
    <w:p w:rsidR="00143573" w:rsidRDefault="00143573">
      <w:pPr>
        <w:overflowPunct/>
        <w:autoSpaceDE/>
        <w:autoSpaceDN/>
        <w:adjustRightInd/>
        <w:textAlignment w:val="auto"/>
        <w:rPr>
          <w:rFonts w:ascii="Arial" w:hAnsi="Arial"/>
          <w:b/>
          <w:sz w:val="24"/>
        </w:rPr>
      </w:pPr>
      <w:r>
        <w:rPr>
          <w:rFonts w:ascii="Arial" w:hAnsi="Arial"/>
          <w:b/>
          <w:sz w:val="24"/>
        </w:rPr>
        <w:br w:type="page"/>
      </w:r>
    </w:p>
    <w:p w:rsidR="00332FDA" w:rsidRDefault="00D93C24" w:rsidP="00C0532A">
      <w:pPr>
        <w:pStyle w:val="Titre3"/>
      </w:pPr>
      <w:bookmarkStart w:id="0" w:name="_Toc440976884"/>
      <w:r>
        <w:rPr>
          <w:u w:val="single"/>
        </w:rPr>
        <w:lastRenderedPageBreak/>
        <w:t>Article 1</w:t>
      </w:r>
      <w:r w:rsidR="00332FDA" w:rsidRPr="00480B66">
        <w:t xml:space="preserve"> : </w:t>
      </w:r>
      <w:r>
        <w:t>Objet du marché</w:t>
      </w:r>
      <w:bookmarkEnd w:id="0"/>
    </w:p>
    <w:p w:rsidR="008729B7" w:rsidRPr="008729B7" w:rsidRDefault="008729B7" w:rsidP="008729B7"/>
    <w:p w:rsidR="00F803A9" w:rsidRDefault="00F803A9" w:rsidP="00F803A9">
      <w:pPr>
        <w:ind w:firstLine="708"/>
        <w:jc w:val="both"/>
      </w:pPr>
      <w:r>
        <w:t xml:space="preserve">Le lycée Antoine Bourdelle de Montauban, est un EPLE "Etablissement Public Local d'Enseignement". Sous l’égide du ministère de l'éducation nationale. Il offre une carte de formation qui va de la seconde générale et professionnelle jusqu'au BTS. </w:t>
      </w:r>
    </w:p>
    <w:p w:rsidR="00F803A9" w:rsidRDefault="00F803A9" w:rsidP="00F803A9">
      <w:pPr>
        <w:jc w:val="both"/>
      </w:pPr>
      <w:r>
        <w:t xml:space="preserve">A cela, s’ajoutent une CPGE et une licence professionnelle en apprentissage hébergée au sein du lycée en partenariat avec l'Université Paul Sabatier de Toulouse, ce qui étend l’offre de formation jusqu’à Bac + 3. Le lycée est également établissement support d’une Plateforme de transfert de technologie, la PFT </w:t>
      </w:r>
      <w:proofErr w:type="spellStart"/>
      <w:r>
        <w:t>Micropacc</w:t>
      </w:r>
      <w:proofErr w:type="spellEnd"/>
      <w:r>
        <w:t>, labellisée par le ministère de l’enseignement supérieur.</w:t>
      </w:r>
    </w:p>
    <w:p w:rsidR="00F803A9" w:rsidRDefault="00F803A9" w:rsidP="00F803A9">
      <w:pPr>
        <w:jc w:val="both"/>
      </w:pPr>
      <w:r>
        <w:t>  </w:t>
      </w:r>
    </w:p>
    <w:p w:rsidR="00F803A9" w:rsidRDefault="00F803A9" w:rsidP="00F803A9">
      <w:pPr>
        <w:ind w:firstLine="708"/>
        <w:jc w:val="both"/>
      </w:pPr>
      <w:r>
        <w:t xml:space="preserve">Le lycée souhaite acquérir un générateur électrique de rayons x en enceinte auto protégée fixe  avec imagerie numérique </w:t>
      </w:r>
      <w:proofErr w:type="spellStart"/>
      <w:r>
        <w:t>embarquée</w:t>
      </w:r>
      <w:proofErr w:type="spellEnd"/>
      <w:r>
        <w:t xml:space="preserve">. Il est destiné au contrôle de cartes électroniques assemblées, de composants et de circuits imprimés. L’inspection doit se faire en temps réel avec la possibilité de se déplacer et de </w:t>
      </w:r>
      <w:proofErr w:type="spellStart"/>
      <w:r>
        <w:t>zoommer</w:t>
      </w:r>
      <w:proofErr w:type="spellEnd"/>
      <w:r>
        <w:t xml:space="preserve"> sur la zone d’inspection. Le niveau de radiations à 10 cm de l’enceinte devra être inférieur à 1.0µSv/h. En outre le matériel conforme à la NFC 74100 et uniquement soumis à déclaration. </w:t>
      </w:r>
    </w:p>
    <w:p w:rsidR="00F803A9" w:rsidRDefault="00F803A9" w:rsidP="00F803A9">
      <w:pPr>
        <w:jc w:val="both"/>
      </w:pPr>
      <w:r>
        <w:t> </w:t>
      </w:r>
    </w:p>
    <w:p w:rsidR="00F803A9" w:rsidRDefault="00F803A9" w:rsidP="00F803A9">
      <w:pPr>
        <w:jc w:val="both"/>
      </w:pPr>
      <w:r>
        <w:t>Ce générateur sera utilisé par les étudiants en cours de formation mais aussi par des salariés ou des apprentis provenant de diverses entreprises. Des démonstrations du matériel seront réalisées, pour permettre aux entreprises qui le souhaitent de tester ses possibilités. Des journées thématiques pourront être organisées pour faire découvrir les nouvelles techniques d’inspection non destructives qui existent.</w:t>
      </w:r>
    </w:p>
    <w:p w:rsidR="00332FDA" w:rsidRPr="00603F7D" w:rsidRDefault="00332FDA" w:rsidP="00603F7D">
      <w:pPr>
        <w:pStyle w:val="Titre3"/>
        <w:rPr>
          <w:u w:val="single"/>
        </w:rPr>
      </w:pPr>
      <w:bookmarkStart w:id="1" w:name="_Toc440976885"/>
      <w:r w:rsidRPr="00603F7D">
        <w:rPr>
          <w:u w:val="single"/>
        </w:rPr>
        <w:t>A</w:t>
      </w:r>
      <w:r w:rsidR="00603F7D">
        <w:rPr>
          <w:u w:val="single"/>
        </w:rPr>
        <w:t>rticle</w:t>
      </w:r>
      <w:r w:rsidRPr="00603F7D">
        <w:rPr>
          <w:u w:val="single"/>
        </w:rPr>
        <w:t xml:space="preserve"> 2 </w:t>
      </w:r>
      <w:r w:rsidRPr="00165198">
        <w:t xml:space="preserve">: </w:t>
      </w:r>
      <w:r w:rsidR="00603F7D" w:rsidRPr="00165198">
        <w:t>Documents contractuels</w:t>
      </w:r>
      <w:bookmarkEnd w:id="1"/>
    </w:p>
    <w:p w:rsidR="00332FDA" w:rsidRPr="000A3EA1" w:rsidRDefault="00332FDA">
      <w:pPr>
        <w:jc w:val="both"/>
      </w:pPr>
    </w:p>
    <w:p w:rsidR="00332FDA" w:rsidRPr="000A3EA1" w:rsidRDefault="00332FDA">
      <w:pPr>
        <w:jc w:val="both"/>
      </w:pPr>
      <w:r w:rsidRPr="000A3EA1">
        <w:t xml:space="preserve">Le marché conclu dans le cadre </w:t>
      </w:r>
      <w:r w:rsidR="00C75AB4">
        <w:t>des dispositions de l‘article 27</w:t>
      </w:r>
      <w:r w:rsidRPr="000A3EA1">
        <w:t xml:space="preserve"> du code des marchés </w:t>
      </w:r>
      <w:r w:rsidR="00C775F3" w:rsidRPr="000A3EA1">
        <w:t>publics</w:t>
      </w:r>
      <w:r w:rsidR="00C775F3">
        <w:t>,</w:t>
      </w:r>
      <w:r w:rsidR="00C775F3" w:rsidRPr="000A3EA1">
        <w:t xml:space="preserve"> sans</w:t>
      </w:r>
      <w:r w:rsidRPr="000A3EA1">
        <w:t xml:space="preserve"> formalités particulières</w:t>
      </w:r>
      <w:r w:rsidR="00C775F3">
        <w:t>,</w:t>
      </w:r>
      <w:r w:rsidRPr="000A3EA1">
        <w:t xml:space="preserve"> est constitué par les documents énumérés ci dessous, par ordre de priorité décroissante</w:t>
      </w:r>
      <w:r w:rsidR="007F2578" w:rsidRPr="000A3EA1">
        <w:t xml:space="preserve"> </w:t>
      </w:r>
      <w:r w:rsidRPr="000A3EA1">
        <w:t xml:space="preserve">: </w:t>
      </w:r>
    </w:p>
    <w:p w:rsidR="00332FDA" w:rsidRPr="000A3EA1" w:rsidRDefault="00332FDA">
      <w:pPr>
        <w:jc w:val="both"/>
      </w:pPr>
    </w:p>
    <w:p w:rsidR="007D2B46" w:rsidRPr="007D2B46" w:rsidRDefault="007D2B46" w:rsidP="007D2B46">
      <w:pPr>
        <w:pStyle w:val="Paragraphedeliste"/>
        <w:numPr>
          <w:ilvl w:val="0"/>
          <w:numId w:val="2"/>
        </w:numPr>
        <w:jc w:val="both"/>
      </w:pPr>
      <w:r>
        <w:t>L’</w:t>
      </w:r>
      <w:r w:rsidRPr="007D2B46">
        <w:t>acte d'engagement complété, daté</w:t>
      </w:r>
      <w:r>
        <w:t>, cacheté</w:t>
      </w:r>
      <w:r w:rsidR="00343242">
        <w:t xml:space="preserve"> et signé</w:t>
      </w:r>
    </w:p>
    <w:p w:rsidR="008D7457" w:rsidRPr="000A3EA1" w:rsidRDefault="008D7457" w:rsidP="008D7457">
      <w:pPr>
        <w:pStyle w:val="Paragraphedeliste"/>
        <w:numPr>
          <w:ilvl w:val="0"/>
          <w:numId w:val="2"/>
        </w:numPr>
        <w:jc w:val="both"/>
      </w:pPr>
      <w:r w:rsidRPr="000A3EA1">
        <w:t>Le bordereau descriptif des prix ;</w:t>
      </w:r>
      <w:r w:rsidR="007D2B46" w:rsidRPr="007D2B46">
        <w:rPr>
          <w:rFonts w:asciiTheme="majorHAnsi" w:hAnsiTheme="majorHAnsi"/>
          <w:sz w:val="22"/>
          <w:szCs w:val="22"/>
        </w:rPr>
        <w:t xml:space="preserve"> </w:t>
      </w:r>
      <w:r w:rsidR="007D2B46" w:rsidRPr="007D2B46">
        <w:t xml:space="preserve">complété, </w:t>
      </w:r>
      <w:r w:rsidR="007D2B46">
        <w:t>cacheté,</w:t>
      </w:r>
      <w:r w:rsidR="007D2B46" w:rsidRPr="007D2B46">
        <w:t xml:space="preserve"> daté et  signé</w:t>
      </w:r>
      <w:r w:rsidR="00D419BE">
        <w:t xml:space="preserve"> accompagné de l’annexe technique complétée, datée et signée</w:t>
      </w:r>
    </w:p>
    <w:p w:rsidR="00332FDA" w:rsidRDefault="008D7457" w:rsidP="008D7457">
      <w:pPr>
        <w:pStyle w:val="Paragraphedeliste"/>
        <w:numPr>
          <w:ilvl w:val="0"/>
          <w:numId w:val="2"/>
        </w:numPr>
        <w:jc w:val="both"/>
      </w:pPr>
      <w:r w:rsidRPr="000A3EA1">
        <w:t>le présent C</w:t>
      </w:r>
      <w:r w:rsidR="00343242">
        <w:t>ahier des Clauses Particulières</w:t>
      </w:r>
    </w:p>
    <w:p w:rsidR="007D2B46" w:rsidRPr="000A3EA1" w:rsidRDefault="007D2B46">
      <w:pPr>
        <w:ind w:left="709"/>
        <w:jc w:val="both"/>
      </w:pPr>
    </w:p>
    <w:p w:rsidR="00332FDA" w:rsidRPr="00603F7D" w:rsidRDefault="00332FDA" w:rsidP="00603F7D">
      <w:pPr>
        <w:pStyle w:val="Titre3"/>
        <w:rPr>
          <w:u w:val="single"/>
        </w:rPr>
      </w:pPr>
      <w:bookmarkStart w:id="2" w:name="_Toc440976886"/>
      <w:r w:rsidRPr="00603F7D">
        <w:rPr>
          <w:u w:val="single"/>
        </w:rPr>
        <w:t>A</w:t>
      </w:r>
      <w:r w:rsidR="00603F7D">
        <w:rPr>
          <w:u w:val="single"/>
        </w:rPr>
        <w:t>rticle</w:t>
      </w:r>
      <w:r w:rsidRPr="00603F7D">
        <w:rPr>
          <w:u w:val="single"/>
        </w:rPr>
        <w:t>3 :</w:t>
      </w:r>
      <w:r w:rsidRPr="00165198">
        <w:t xml:space="preserve"> </w:t>
      </w:r>
      <w:r w:rsidR="00603F7D" w:rsidRPr="00165198">
        <w:t>Modalités d’exécution</w:t>
      </w:r>
      <w:bookmarkEnd w:id="2"/>
    </w:p>
    <w:p w:rsidR="00332FDA" w:rsidRPr="000A3EA1" w:rsidRDefault="00332FDA">
      <w:pPr>
        <w:jc w:val="both"/>
      </w:pPr>
    </w:p>
    <w:p w:rsidR="00332FDA" w:rsidRPr="000A3EA1" w:rsidRDefault="00332FDA">
      <w:pPr>
        <w:jc w:val="both"/>
      </w:pPr>
      <w:r w:rsidRPr="000A3EA1">
        <w:t>La fourniture devra être livrée dans le délai</w:t>
      </w:r>
      <w:r w:rsidR="00CF2AF9">
        <w:t> :</w:t>
      </w:r>
      <w:r w:rsidR="00D5739F">
        <w:t xml:space="preserve"> semaine </w:t>
      </w:r>
      <w:r w:rsidR="008729B7">
        <w:t>6</w:t>
      </w:r>
      <w:r w:rsidR="00D5739F">
        <w:t xml:space="preserve"> soit début </w:t>
      </w:r>
      <w:r w:rsidR="008729B7">
        <w:t>février 2019</w:t>
      </w:r>
      <w:r w:rsidRPr="000A3EA1">
        <w:t xml:space="preserve">. </w:t>
      </w:r>
    </w:p>
    <w:p w:rsidR="00332FDA" w:rsidRPr="000A3EA1" w:rsidRDefault="00332FDA">
      <w:pPr>
        <w:jc w:val="both"/>
      </w:pPr>
    </w:p>
    <w:p w:rsidR="00332FDA" w:rsidRPr="00603F7D" w:rsidRDefault="00332FDA" w:rsidP="00603F7D">
      <w:pPr>
        <w:pStyle w:val="Titre3"/>
        <w:rPr>
          <w:u w:val="single"/>
        </w:rPr>
      </w:pPr>
      <w:bookmarkStart w:id="3" w:name="_Toc440976887"/>
      <w:r w:rsidRPr="00603F7D">
        <w:rPr>
          <w:u w:val="single"/>
        </w:rPr>
        <w:t>A</w:t>
      </w:r>
      <w:r w:rsidR="00603F7D">
        <w:rPr>
          <w:u w:val="single"/>
        </w:rPr>
        <w:t>rticle</w:t>
      </w:r>
      <w:r w:rsidRPr="00603F7D">
        <w:rPr>
          <w:u w:val="single"/>
        </w:rPr>
        <w:t xml:space="preserve"> 4:</w:t>
      </w:r>
      <w:r w:rsidRPr="00165198">
        <w:t xml:space="preserve"> </w:t>
      </w:r>
      <w:r w:rsidR="00443C66" w:rsidRPr="00165198">
        <w:t>Sous-traitance</w:t>
      </w:r>
      <w:bookmarkEnd w:id="3"/>
    </w:p>
    <w:p w:rsidR="00332FDA" w:rsidRPr="000A3EA1" w:rsidRDefault="00332FDA">
      <w:pPr>
        <w:jc w:val="both"/>
      </w:pPr>
    </w:p>
    <w:p w:rsidR="00332FDA" w:rsidRPr="000A3EA1" w:rsidRDefault="00332FDA">
      <w:pPr>
        <w:jc w:val="both"/>
      </w:pPr>
      <w:r w:rsidRPr="000A3EA1">
        <w:t xml:space="preserve">Le titulaire du marché ne pourra en aucun cas transmettre tout ou partie de la fourniture à un </w:t>
      </w:r>
      <w:proofErr w:type="spellStart"/>
      <w:r w:rsidRPr="000A3EA1">
        <w:t>sous</w:t>
      </w:r>
      <w:r w:rsidRPr="000A3EA1">
        <w:noBreakHyphen/>
        <w:t>traitant</w:t>
      </w:r>
      <w:proofErr w:type="spellEnd"/>
      <w:r w:rsidRPr="000A3EA1">
        <w:t xml:space="preserve">, sans l'accord exprès du lycée demandé par lettre recommandée avec accusé de réception un mois avant la date prévue pour la </w:t>
      </w:r>
      <w:proofErr w:type="spellStart"/>
      <w:r w:rsidRPr="000A3EA1">
        <w:t>sous</w:t>
      </w:r>
      <w:r w:rsidRPr="000A3EA1">
        <w:noBreakHyphen/>
        <w:t>traitance</w:t>
      </w:r>
      <w:proofErr w:type="spellEnd"/>
      <w:r w:rsidRPr="000A3EA1">
        <w:t xml:space="preserve">. </w:t>
      </w:r>
    </w:p>
    <w:p w:rsidR="00F803A9" w:rsidRPr="000A3EA1" w:rsidRDefault="00F803A9">
      <w:pPr>
        <w:jc w:val="both"/>
      </w:pPr>
    </w:p>
    <w:p w:rsidR="00332FDA" w:rsidRPr="00603F7D" w:rsidRDefault="00603F7D" w:rsidP="00603F7D">
      <w:pPr>
        <w:pStyle w:val="Titre3"/>
        <w:rPr>
          <w:u w:val="single"/>
        </w:rPr>
      </w:pPr>
      <w:bookmarkStart w:id="4" w:name="_Toc440976889"/>
      <w:r w:rsidRPr="00603F7D">
        <w:rPr>
          <w:u w:val="single"/>
        </w:rPr>
        <w:t>Article</w:t>
      </w:r>
      <w:r w:rsidR="00D5739F">
        <w:rPr>
          <w:u w:val="single"/>
        </w:rPr>
        <w:t xml:space="preserve"> 5</w:t>
      </w:r>
      <w:r w:rsidR="00332FDA" w:rsidRPr="00603F7D">
        <w:rPr>
          <w:u w:val="single"/>
        </w:rPr>
        <w:t xml:space="preserve"> </w:t>
      </w:r>
      <w:r w:rsidR="00332FDA" w:rsidRPr="00165198">
        <w:t xml:space="preserve">: </w:t>
      </w:r>
      <w:bookmarkEnd w:id="4"/>
      <w:r w:rsidR="00CF2AF9" w:rsidRPr="00165198">
        <w:t>Descriptif technique</w:t>
      </w:r>
      <w:r w:rsidR="00332FDA" w:rsidRPr="00603F7D">
        <w:rPr>
          <w:u w:val="single"/>
        </w:rPr>
        <w:t xml:space="preserve"> </w:t>
      </w:r>
    </w:p>
    <w:p w:rsidR="0093757E" w:rsidRPr="006071B3" w:rsidRDefault="0093757E">
      <w:pPr>
        <w:jc w:val="both"/>
        <w:rPr>
          <w:b/>
        </w:rPr>
      </w:pPr>
    </w:p>
    <w:p w:rsidR="008729B7" w:rsidRPr="008729B7" w:rsidRDefault="008729B7" w:rsidP="008729B7">
      <w:pPr>
        <w:spacing w:before="34"/>
        <w:ind w:left="696"/>
      </w:pPr>
      <w:r w:rsidRPr="008729B7">
        <w:rPr>
          <w:b/>
          <w:bCs/>
        </w:rPr>
        <w:t>Rap</w:t>
      </w:r>
      <w:r w:rsidRPr="008729B7">
        <w:rPr>
          <w:b/>
          <w:bCs/>
          <w:spacing w:val="1"/>
        </w:rPr>
        <w:t>p</w:t>
      </w:r>
      <w:r w:rsidRPr="008729B7">
        <w:rPr>
          <w:b/>
          <w:bCs/>
        </w:rPr>
        <w:t>el</w:t>
      </w:r>
      <w:r w:rsidRPr="008729B7">
        <w:rPr>
          <w:b/>
          <w:bCs/>
          <w:spacing w:val="-8"/>
        </w:rPr>
        <w:t xml:space="preserve"> </w:t>
      </w:r>
      <w:r w:rsidRPr="008729B7">
        <w:rPr>
          <w:b/>
          <w:bCs/>
        </w:rPr>
        <w:t>im</w:t>
      </w:r>
      <w:r w:rsidRPr="008729B7">
        <w:rPr>
          <w:b/>
          <w:bCs/>
          <w:spacing w:val="1"/>
        </w:rPr>
        <w:t>p</w:t>
      </w:r>
      <w:r w:rsidRPr="008729B7">
        <w:rPr>
          <w:b/>
          <w:bCs/>
        </w:rPr>
        <w:t>o</w:t>
      </w:r>
      <w:r w:rsidRPr="008729B7">
        <w:rPr>
          <w:b/>
          <w:bCs/>
          <w:spacing w:val="-1"/>
        </w:rPr>
        <w:t>r</w:t>
      </w:r>
      <w:r w:rsidRPr="008729B7">
        <w:rPr>
          <w:b/>
          <w:bCs/>
          <w:spacing w:val="1"/>
        </w:rPr>
        <w:t>t</w:t>
      </w:r>
      <w:r w:rsidRPr="008729B7">
        <w:rPr>
          <w:b/>
          <w:bCs/>
        </w:rPr>
        <w:t>ant</w:t>
      </w:r>
      <w:r w:rsidRPr="008729B7">
        <w:rPr>
          <w:b/>
          <w:bCs/>
          <w:spacing w:val="-7"/>
        </w:rPr>
        <w:t xml:space="preserve"> </w:t>
      </w:r>
      <w:r w:rsidRPr="008729B7">
        <w:rPr>
          <w:spacing w:val="1"/>
        </w:rPr>
        <w:t>(</w:t>
      </w:r>
      <w:r w:rsidRPr="008729B7">
        <w:rPr>
          <w:spacing w:val="-1"/>
        </w:rPr>
        <w:t>v</w:t>
      </w:r>
      <w:r w:rsidRPr="008729B7">
        <w:t>o</w:t>
      </w:r>
      <w:r w:rsidRPr="008729B7">
        <w:rPr>
          <w:spacing w:val="-1"/>
        </w:rPr>
        <w:t>i</w:t>
      </w:r>
      <w:r w:rsidRPr="008729B7">
        <w:t>r</w:t>
      </w:r>
      <w:r w:rsidRPr="008729B7">
        <w:rPr>
          <w:spacing w:val="-3"/>
        </w:rPr>
        <w:t xml:space="preserve"> </w:t>
      </w:r>
      <w:r w:rsidRPr="008729B7">
        <w:t>rè</w:t>
      </w:r>
      <w:r w:rsidRPr="008729B7">
        <w:rPr>
          <w:spacing w:val="-1"/>
        </w:rPr>
        <w:t>gl</w:t>
      </w:r>
      <w:r w:rsidRPr="008729B7">
        <w:t>e</w:t>
      </w:r>
      <w:r w:rsidRPr="008729B7">
        <w:rPr>
          <w:spacing w:val="4"/>
        </w:rPr>
        <w:t>m</w:t>
      </w:r>
      <w:r w:rsidRPr="008729B7">
        <w:t>e</w:t>
      </w:r>
      <w:r w:rsidRPr="008729B7">
        <w:rPr>
          <w:spacing w:val="-1"/>
        </w:rPr>
        <w:t>n</w:t>
      </w:r>
      <w:r w:rsidRPr="008729B7">
        <w:t>t</w:t>
      </w:r>
      <w:r w:rsidRPr="008729B7">
        <w:rPr>
          <w:spacing w:val="-9"/>
        </w:rPr>
        <w:t xml:space="preserve"> </w:t>
      </w:r>
      <w:r w:rsidRPr="008729B7">
        <w:rPr>
          <w:spacing w:val="-1"/>
        </w:rPr>
        <w:t>d</w:t>
      </w:r>
      <w:r w:rsidRPr="008729B7">
        <w:t>e</w:t>
      </w:r>
      <w:r w:rsidRPr="008729B7">
        <w:rPr>
          <w:spacing w:val="-2"/>
        </w:rPr>
        <w:t xml:space="preserve"> l</w:t>
      </w:r>
      <w:r w:rsidRPr="008729B7">
        <w:t>a</w:t>
      </w:r>
      <w:r w:rsidRPr="008729B7">
        <w:rPr>
          <w:spacing w:val="-2"/>
        </w:rPr>
        <w:t xml:space="preserve"> </w:t>
      </w:r>
      <w:r w:rsidRPr="008729B7">
        <w:t>co</w:t>
      </w:r>
      <w:r w:rsidRPr="008729B7">
        <w:rPr>
          <w:spacing w:val="-1"/>
        </w:rPr>
        <w:t>n</w:t>
      </w:r>
      <w:r w:rsidRPr="008729B7">
        <w:rPr>
          <w:spacing w:val="1"/>
        </w:rPr>
        <w:t>s</w:t>
      </w:r>
      <w:r w:rsidRPr="008729B7">
        <w:t>u</w:t>
      </w:r>
      <w:r w:rsidRPr="008729B7">
        <w:rPr>
          <w:spacing w:val="-1"/>
        </w:rPr>
        <w:t>l</w:t>
      </w:r>
      <w:r w:rsidRPr="008729B7">
        <w:t>ta</w:t>
      </w:r>
      <w:r w:rsidRPr="008729B7">
        <w:rPr>
          <w:spacing w:val="-1"/>
        </w:rPr>
        <w:t>ti</w:t>
      </w:r>
      <w:r w:rsidRPr="008729B7">
        <w:t>o</w:t>
      </w:r>
      <w:r w:rsidRPr="008729B7">
        <w:rPr>
          <w:spacing w:val="-1"/>
        </w:rPr>
        <w:t>n</w:t>
      </w:r>
      <w:r w:rsidRPr="008729B7">
        <w:t>)</w:t>
      </w:r>
      <w:r w:rsidRPr="008729B7">
        <w:rPr>
          <w:spacing w:val="-10"/>
        </w:rPr>
        <w:t xml:space="preserve"> </w:t>
      </w:r>
      <w:r w:rsidRPr="008729B7">
        <w:t>:</w:t>
      </w:r>
    </w:p>
    <w:p w:rsidR="008729B7" w:rsidRPr="008729B7" w:rsidRDefault="008729B7" w:rsidP="008729B7">
      <w:pPr>
        <w:pStyle w:val="Paragraphedeliste"/>
        <w:numPr>
          <w:ilvl w:val="0"/>
          <w:numId w:val="7"/>
        </w:numPr>
        <w:overflowPunct/>
        <w:autoSpaceDE/>
        <w:autoSpaceDN/>
        <w:adjustRightInd/>
        <w:spacing w:before="7"/>
        <w:ind w:right="1068"/>
        <w:contextualSpacing w:val="0"/>
        <w:textAlignment w:val="auto"/>
      </w:pPr>
      <w:r w:rsidRPr="008729B7">
        <w:t>L</w:t>
      </w:r>
      <w:r w:rsidRPr="008729B7">
        <w:rPr>
          <w:spacing w:val="-1"/>
        </w:rPr>
        <w:t>e</w:t>
      </w:r>
      <w:r w:rsidRPr="008729B7">
        <w:t>s</w:t>
      </w:r>
      <w:r w:rsidRPr="008729B7">
        <w:rPr>
          <w:spacing w:val="-2"/>
        </w:rPr>
        <w:t xml:space="preserve"> </w:t>
      </w:r>
      <w:r w:rsidRPr="008729B7">
        <w:rPr>
          <w:spacing w:val="-1"/>
        </w:rPr>
        <w:t>"</w:t>
      </w:r>
      <w:r w:rsidRPr="008729B7">
        <w:rPr>
          <w:spacing w:val="1"/>
        </w:rPr>
        <w:t>X</w:t>
      </w:r>
      <w:r w:rsidRPr="008729B7">
        <w:t>"</w:t>
      </w:r>
      <w:r w:rsidRPr="008729B7">
        <w:rPr>
          <w:spacing w:val="-4"/>
        </w:rPr>
        <w:t xml:space="preserve"> </w:t>
      </w:r>
      <w:r w:rsidRPr="008729B7">
        <w:t>d</w:t>
      </w:r>
      <w:r w:rsidRPr="008729B7">
        <w:rPr>
          <w:spacing w:val="-1"/>
        </w:rPr>
        <w:t>a</w:t>
      </w:r>
      <w:r w:rsidRPr="008729B7">
        <w:t>ns</w:t>
      </w:r>
      <w:r w:rsidRPr="008729B7">
        <w:rPr>
          <w:spacing w:val="-3"/>
        </w:rPr>
        <w:t xml:space="preserve"> </w:t>
      </w:r>
      <w:r w:rsidRPr="008729B7">
        <w:rPr>
          <w:spacing w:val="-1"/>
        </w:rPr>
        <w:t>l</w:t>
      </w:r>
      <w:r w:rsidRPr="008729B7">
        <w:t>a</w:t>
      </w:r>
      <w:r w:rsidRPr="008729B7">
        <w:rPr>
          <w:spacing w:val="-2"/>
        </w:rPr>
        <w:t xml:space="preserve"> </w:t>
      </w:r>
      <w:r w:rsidRPr="008729B7">
        <w:t>co</w:t>
      </w:r>
      <w:r w:rsidRPr="008729B7">
        <w:rPr>
          <w:spacing w:val="-1"/>
        </w:rPr>
        <w:t>l</w:t>
      </w:r>
      <w:r w:rsidRPr="008729B7">
        <w:t>o</w:t>
      </w:r>
      <w:r w:rsidRPr="008729B7">
        <w:rPr>
          <w:spacing w:val="-1"/>
        </w:rPr>
        <w:t>n</w:t>
      </w:r>
      <w:r w:rsidRPr="008729B7">
        <w:t>ne</w:t>
      </w:r>
      <w:r w:rsidRPr="008729B7">
        <w:rPr>
          <w:spacing w:val="-8"/>
        </w:rPr>
        <w:t xml:space="preserve"> </w:t>
      </w:r>
      <w:r w:rsidRPr="008729B7">
        <w:rPr>
          <w:spacing w:val="-1"/>
        </w:rPr>
        <w:t>"E</w:t>
      </w:r>
      <w:r w:rsidRPr="008729B7">
        <w:t>"</w:t>
      </w:r>
      <w:r w:rsidRPr="008729B7">
        <w:rPr>
          <w:spacing w:val="-4"/>
        </w:rPr>
        <w:t xml:space="preserve"> </w:t>
      </w:r>
      <w:r w:rsidRPr="008729B7">
        <w:rPr>
          <w:spacing w:val="-1"/>
        </w:rPr>
        <w:t>i</w:t>
      </w:r>
      <w:r w:rsidRPr="008729B7">
        <w:t>n</w:t>
      </w:r>
      <w:r w:rsidRPr="008729B7">
        <w:rPr>
          <w:spacing w:val="-1"/>
        </w:rPr>
        <w:t>di</w:t>
      </w:r>
      <w:r w:rsidRPr="008729B7">
        <w:t>q</w:t>
      </w:r>
      <w:r w:rsidRPr="008729B7">
        <w:rPr>
          <w:spacing w:val="-1"/>
        </w:rPr>
        <w:t>u</w:t>
      </w:r>
      <w:r w:rsidRPr="008729B7">
        <w:t>e</w:t>
      </w:r>
      <w:r w:rsidRPr="008729B7">
        <w:rPr>
          <w:spacing w:val="-1"/>
        </w:rPr>
        <w:t>n</w:t>
      </w:r>
      <w:r w:rsidRPr="008729B7">
        <w:t>t</w:t>
      </w:r>
      <w:r w:rsidRPr="008729B7">
        <w:rPr>
          <w:spacing w:val="-8"/>
        </w:rPr>
        <w:t xml:space="preserve"> </w:t>
      </w:r>
      <w:r w:rsidRPr="008729B7">
        <w:rPr>
          <w:spacing w:val="-1"/>
        </w:rPr>
        <w:t>d</w:t>
      </w:r>
      <w:r w:rsidRPr="008729B7">
        <w:t>es</w:t>
      </w:r>
      <w:r w:rsidRPr="008729B7">
        <w:rPr>
          <w:spacing w:val="-2"/>
        </w:rPr>
        <w:t xml:space="preserve"> </w:t>
      </w:r>
      <w:r w:rsidRPr="008729B7">
        <w:rPr>
          <w:spacing w:val="1"/>
        </w:rPr>
        <w:t>c</w:t>
      </w:r>
      <w:r w:rsidRPr="008729B7">
        <w:t>ara</w:t>
      </w:r>
      <w:r w:rsidRPr="008729B7">
        <w:rPr>
          <w:spacing w:val="1"/>
        </w:rPr>
        <w:t>c</w:t>
      </w:r>
      <w:r w:rsidRPr="008729B7">
        <w:t>tér</w:t>
      </w:r>
      <w:r w:rsidRPr="008729B7">
        <w:rPr>
          <w:spacing w:val="-1"/>
        </w:rPr>
        <w:t>i</w:t>
      </w:r>
      <w:r w:rsidRPr="008729B7">
        <w:rPr>
          <w:spacing w:val="1"/>
        </w:rPr>
        <w:t>s</w:t>
      </w:r>
      <w:r w:rsidRPr="008729B7">
        <w:t>t</w:t>
      </w:r>
      <w:r w:rsidRPr="008729B7">
        <w:rPr>
          <w:spacing w:val="-1"/>
        </w:rPr>
        <w:t>i</w:t>
      </w:r>
      <w:r w:rsidRPr="008729B7">
        <w:t>q</w:t>
      </w:r>
      <w:r w:rsidRPr="008729B7">
        <w:rPr>
          <w:spacing w:val="-1"/>
        </w:rPr>
        <w:t>u</w:t>
      </w:r>
      <w:r w:rsidRPr="008729B7">
        <w:t>es</w:t>
      </w:r>
      <w:r w:rsidRPr="008729B7">
        <w:rPr>
          <w:spacing w:val="-13"/>
        </w:rPr>
        <w:t xml:space="preserve"> </w:t>
      </w:r>
      <w:r w:rsidRPr="008729B7">
        <w:t>ou</w:t>
      </w:r>
      <w:r w:rsidRPr="008729B7">
        <w:rPr>
          <w:spacing w:val="-3"/>
        </w:rPr>
        <w:t xml:space="preserve"> </w:t>
      </w:r>
      <w:r w:rsidRPr="008729B7">
        <w:rPr>
          <w:spacing w:val="2"/>
        </w:rPr>
        <w:t>f</w:t>
      </w:r>
      <w:r w:rsidRPr="008729B7">
        <w:t>o</w:t>
      </w:r>
      <w:r w:rsidRPr="008729B7">
        <w:rPr>
          <w:spacing w:val="-1"/>
        </w:rPr>
        <w:t>n</w:t>
      </w:r>
      <w:r w:rsidRPr="008729B7">
        <w:rPr>
          <w:spacing w:val="1"/>
        </w:rPr>
        <w:t>c</w:t>
      </w:r>
      <w:r w:rsidRPr="008729B7">
        <w:t>t</w:t>
      </w:r>
      <w:r w:rsidRPr="008729B7">
        <w:rPr>
          <w:spacing w:val="-1"/>
        </w:rPr>
        <w:t>i</w:t>
      </w:r>
      <w:r w:rsidRPr="008729B7">
        <w:t>o</w:t>
      </w:r>
      <w:r w:rsidRPr="008729B7">
        <w:rPr>
          <w:spacing w:val="-1"/>
        </w:rPr>
        <w:t>n</w:t>
      </w:r>
      <w:r w:rsidRPr="008729B7">
        <w:t>n</w:t>
      </w:r>
      <w:r w:rsidRPr="008729B7">
        <w:rPr>
          <w:spacing w:val="-1"/>
        </w:rPr>
        <w:t>ali</w:t>
      </w:r>
      <w:r w:rsidRPr="008729B7">
        <w:t>tés</w:t>
      </w:r>
      <w:r w:rsidRPr="008729B7">
        <w:rPr>
          <w:spacing w:val="-8"/>
        </w:rPr>
        <w:t xml:space="preserve"> </w:t>
      </w:r>
      <w:r w:rsidRPr="008729B7">
        <w:rPr>
          <w:b/>
          <w:bCs/>
        </w:rPr>
        <w:t>obliga</w:t>
      </w:r>
      <w:r w:rsidRPr="008729B7">
        <w:rPr>
          <w:b/>
          <w:bCs/>
          <w:spacing w:val="1"/>
        </w:rPr>
        <w:t>t</w:t>
      </w:r>
      <w:r w:rsidRPr="008729B7">
        <w:rPr>
          <w:b/>
          <w:bCs/>
        </w:rPr>
        <w:t>oi</w:t>
      </w:r>
      <w:r w:rsidRPr="008729B7">
        <w:rPr>
          <w:b/>
          <w:bCs/>
          <w:spacing w:val="-1"/>
        </w:rPr>
        <w:t>r</w:t>
      </w:r>
      <w:r w:rsidRPr="008729B7">
        <w:rPr>
          <w:b/>
          <w:bCs/>
        </w:rPr>
        <w:t>es</w:t>
      </w:r>
      <w:r w:rsidRPr="008729B7">
        <w:rPr>
          <w:b/>
          <w:bCs/>
          <w:spacing w:val="-11"/>
        </w:rPr>
        <w:t xml:space="preserve"> </w:t>
      </w:r>
      <w:r w:rsidRPr="008729B7">
        <w:t>;</w:t>
      </w:r>
      <w:r w:rsidRPr="008729B7">
        <w:rPr>
          <w:spacing w:val="-1"/>
        </w:rPr>
        <w:t xml:space="preserve"> l</w:t>
      </w:r>
      <w:r w:rsidRPr="008729B7">
        <w:t>es</w:t>
      </w:r>
      <w:r w:rsidRPr="008729B7">
        <w:rPr>
          <w:spacing w:val="-2"/>
        </w:rPr>
        <w:t xml:space="preserve"> </w:t>
      </w:r>
      <w:r w:rsidRPr="008729B7">
        <w:rPr>
          <w:spacing w:val="-1"/>
        </w:rPr>
        <w:t>"</w:t>
      </w:r>
      <w:r w:rsidRPr="008729B7">
        <w:rPr>
          <w:spacing w:val="1"/>
        </w:rPr>
        <w:t>O</w:t>
      </w:r>
      <w:r w:rsidRPr="008729B7">
        <w:t>"</w:t>
      </w:r>
      <w:r w:rsidRPr="008729B7">
        <w:rPr>
          <w:spacing w:val="-4"/>
        </w:rPr>
        <w:t xml:space="preserve"> </w:t>
      </w:r>
      <w:r w:rsidRPr="008729B7">
        <w:t>d</w:t>
      </w:r>
      <w:r w:rsidRPr="008729B7">
        <w:rPr>
          <w:spacing w:val="-1"/>
        </w:rPr>
        <w:t>a</w:t>
      </w:r>
      <w:r w:rsidRPr="008729B7">
        <w:t>ns</w:t>
      </w:r>
      <w:r w:rsidRPr="008729B7">
        <w:rPr>
          <w:spacing w:val="-3"/>
        </w:rPr>
        <w:t xml:space="preserve"> </w:t>
      </w:r>
      <w:r w:rsidRPr="008729B7">
        <w:rPr>
          <w:spacing w:val="-1"/>
        </w:rPr>
        <w:t>l</w:t>
      </w:r>
      <w:r w:rsidRPr="008729B7">
        <w:t xml:space="preserve">a </w:t>
      </w:r>
      <w:r w:rsidRPr="008729B7">
        <w:rPr>
          <w:spacing w:val="1"/>
        </w:rPr>
        <w:t>c</w:t>
      </w:r>
      <w:r w:rsidRPr="008729B7">
        <w:t>o</w:t>
      </w:r>
      <w:r w:rsidRPr="008729B7">
        <w:rPr>
          <w:spacing w:val="-1"/>
        </w:rPr>
        <w:t>l</w:t>
      </w:r>
      <w:r w:rsidRPr="008729B7">
        <w:t>o</w:t>
      </w:r>
      <w:r w:rsidRPr="008729B7">
        <w:rPr>
          <w:spacing w:val="-1"/>
        </w:rPr>
        <w:t>n</w:t>
      </w:r>
      <w:r w:rsidRPr="008729B7">
        <w:t>ne</w:t>
      </w:r>
      <w:r w:rsidRPr="008729B7">
        <w:rPr>
          <w:spacing w:val="-8"/>
        </w:rPr>
        <w:t xml:space="preserve"> </w:t>
      </w:r>
      <w:r w:rsidRPr="008729B7">
        <w:rPr>
          <w:spacing w:val="-1"/>
        </w:rPr>
        <w:t>"E</w:t>
      </w:r>
      <w:r w:rsidRPr="008729B7">
        <w:t>"</w:t>
      </w:r>
      <w:r w:rsidRPr="008729B7">
        <w:rPr>
          <w:spacing w:val="-4"/>
        </w:rPr>
        <w:t xml:space="preserve"> </w:t>
      </w:r>
      <w:r w:rsidRPr="008729B7">
        <w:rPr>
          <w:spacing w:val="-1"/>
        </w:rPr>
        <w:t>i</w:t>
      </w:r>
      <w:r w:rsidRPr="008729B7">
        <w:t>n</w:t>
      </w:r>
      <w:r w:rsidRPr="008729B7">
        <w:rPr>
          <w:spacing w:val="-1"/>
        </w:rPr>
        <w:t>di</w:t>
      </w:r>
      <w:r w:rsidRPr="008729B7">
        <w:t>q</w:t>
      </w:r>
      <w:r w:rsidRPr="008729B7">
        <w:rPr>
          <w:spacing w:val="-1"/>
        </w:rPr>
        <w:t>u</w:t>
      </w:r>
      <w:r w:rsidRPr="008729B7">
        <w:t>e</w:t>
      </w:r>
      <w:r w:rsidRPr="008729B7">
        <w:rPr>
          <w:spacing w:val="-1"/>
        </w:rPr>
        <w:t>n</w:t>
      </w:r>
      <w:r w:rsidRPr="008729B7">
        <w:t>t</w:t>
      </w:r>
      <w:r w:rsidRPr="008729B7">
        <w:rPr>
          <w:spacing w:val="-8"/>
        </w:rPr>
        <w:t xml:space="preserve"> </w:t>
      </w:r>
      <w:r w:rsidRPr="008729B7">
        <w:rPr>
          <w:spacing w:val="-1"/>
        </w:rPr>
        <w:t>d</w:t>
      </w:r>
      <w:r w:rsidRPr="008729B7">
        <w:t>es</w:t>
      </w:r>
      <w:r w:rsidRPr="008729B7">
        <w:rPr>
          <w:spacing w:val="-2"/>
        </w:rPr>
        <w:t xml:space="preserve"> </w:t>
      </w:r>
      <w:r w:rsidRPr="008729B7">
        <w:t>o</w:t>
      </w:r>
      <w:r w:rsidRPr="008729B7">
        <w:rPr>
          <w:spacing w:val="-1"/>
        </w:rPr>
        <w:t>p</w:t>
      </w:r>
      <w:r w:rsidRPr="008729B7">
        <w:t>t</w:t>
      </w:r>
      <w:r w:rsidRPr="008729B7">
        <w:rPr>
          <w:spacing w:val="-1"/>
        </w:rPr>
        <w:t>i</w:t>
      </w:r>
      <w:r w:rsidRPr="008729B7">
        <w:t>o</w:t>
      </w:r>
      <w:r w:rsidRPr="008729B7">
        <w:rPr>
          <w:spacing w:val="-1"/>
        </w:rPr>
        <w:t>n</w:t>
      </w:r>
      <w:r w:rsidRPr="008729B7">
        <w:rPr>
          <w:spacing w:val="1"/>
        </w:rPr>
        <w:t>s</w:t>
      </w:r>
      <w:r w:rsidRPr="008729B7">
        <w:t>.</w:t>
      </w:r>
    </w:p>
    <w:p w:rsidR="008729B7" w:rsidRPr="008729B7" w:rsidRDefault="008729B7" w:rsidP="008729B7">
      <w:pPr>
        <w:pStyle w:val="Paragraphedeliste"/>
        <w:numPr>
          <w:ilvl w:val="0"/>
          <w:numId w:val="7"/>
        </w:numPr>
        <w:overflowPunct/>
        <w:autoSpaceDE/>
        <w:autoSpaceDN/>
        <w:adjustRightInd/>
        <w:spacing w:before="7"/>
        <w:ind w:right="1068"/>
        <w:contextualSpacing w:val="0"/>
        <w:textAlignment w:val="auto"/>
      </w:pPr>
      <w:r w:rsidRPr="008729B7">
        <w:t>Dans la colonne F le poids de chaque caractéristique sur 60 points</w:t>
      </w:r>
    </w:p>
    <w:p w:rsidR="008729B7" w:rsidRDefault="008729B7" w:rsidP="008729B7">
      <w:pPr>
        <w:overflowPunct/>
        <w:autoSpaceDE/>
        <w:autoSpaceDN/>
        <w:adjustRightInd/>
        <w:spacing w:before="7"/>
        <w:ind w:right="1068"/>
        <w:textAlignment w:val="auto"/>
      </w:pPr>
    </w:p>
    <w:p w:rsidR="00D419BE" w:rsidRPr="008729B7" w:rsidRDefault="00D419BE" w:rsidP="008729B7">
      <w:pPr>
        <w:overflowPunct/>
        <w:autoSpaceDE/>
        <w:autoSpaceDN/>
        <w:adjustRightInd/>
        <w:spacing w:before="7"/>
        <w:ind w:right="1068"/>
        <w:textAlignment w:val="auto"/>
      </w:pPr>
      <w:r>
        <w:t>L’entreprise veillera à fournir les éléments détaillés permettant d’établir une notation.</w:t>
      </w:r>
    </w:p>
    <w:p w:rsidR="008729B7" w:rsidRDefault="008729B7" w:rsidP="008729B7">
      <w:pPr>
        <w:overflowPunct/>
        <w:autoSpaceDE/>
        <w:autoSpaceDN/>
        <w:adjustRightInd/>
        <w:spacing w:before="7"/>
        <w:ind w:right="1068"/>
        <w:textAlignment w:val="auto"/>
        <w:rPr>
          <w:rFonts w:ascii="Arial" w:hAnsi="Arial" w:cs="Arial"/>
        </w:rPr>
      </w:pPr>
    </w:p>
    <w:p w:rsidR="008729B7" w:rsidRDefault="008729B7" w:rsidP="008729B7">
      <w:pPr>
        <w:overflowPunct/>
        <w:autoSpaceDE/>
        <w:autoSpaceDN/>
        <w:adjustRightInd/>
        <w:spacing w:before="7"/>
        <w:ind w:right="1068"/>
        <w:textAlignment w:val="auto"/>
        <w:rPr>
          <w:rFonts w:ascii="Arial" w:hAnsi="Arial" w:cs="Arial"/>
        </w:rPr>
      </w:pPr>
    </w:p>
    <w:p w:rsidR="008729B7" w:rsidRDefault="008729B7" w:rsidP="008729B7">
      <w:pPr>
        <w:overflowPunct/>
        <w:autoSpaceDE/>
        <w:autoSpaceDN/>
        <w:adjustRightInd/>
        <w:spacing w:before="7"/>
        <w:ind w:right="1068"/>
        <w:textAlignment w:val="auto"/>
        <w:rPr>
          <w:rFonts w:ascii="Arial" w:hAnsi="Arial" w:cs="Arial"/>
        </w:rPr>
      </w:pPr>
    </w:p>
    <w:p w:rsidR="008729B7" w:rsidRDefault="008729B7" w:rsidP="008729B7">
      <w:pPr>
        <w:overflowPunct/>
        <w:autoSpaceDE/>
        <w:autoSpaceDN/>
        <w:adjustRightInd/>
        <w:spacing w:before="7"/>
        <w:ind w:right="1068"/>
        <w:textAlignment w:val="auto"/>
        <w:rPr>
          <w:rFonts w:ascii="Arial" w:hAnsi="Arial" w:cs="Arial"/>
        </w:rPr>
      </w:pPr>
      <w:bookmarkStart w:id="5" w:name="_GoBack"/>
      <w:bookmarkEnd w:id="5"/>
    </w:p>
    <w:tbl>
      <w:tblPr>
        <w:tblpPr w:leftFromText="141" w:rightFromText="141" w:vertAnchor="text" w:horzAnchor="margin" w:tblpY="-19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6"/>
        <w:gridCol w:w="473"/>
        <w:gridCol w:w="473"/>
        <w:gridCol w:w="1936"/>
      </w:tblGrid>
      <w:tr w:rsidR="008729B7" w:rsidRPr="007A2179" w:rsidTr="00F803A9">
        <w:tc>
          <w:tcPr>
            <w:tcW w:w="8359" w:type="dxa"/>
            <w:gridSpan w:val="2"/>
            <w:shd w:val="clear" w:color="auto" w:fill="CCFFCC"/>
          </w:tcPr>
          <w:p w:rsidR="008729B7" w:rsidRPr="008729B7" w:rsidRDefault="008729B7" w:rsidP="00F803A9">
            <w:pPr>
              <w:jc w:val="center"/>
            </w:pPr>
            <w:r w:rsidRPr="008729B7">
              <w:lastRenderedPageBreak/>
              <w:t>33262000-4     Machines et appareils d'essai et de mesure</w:t>
            </w:r>
          </w:p>
        </w:tc>
        <w:tc>
          <w:tcPr>
            <w:tcW w:w="473" w:type="dxa"/>
            <w:shd w:val="clear" w:color="auto" w:fill="CCFFCC"/>
          </w:tcPr>
          <w:p w:rsidR="008729B7" w:rsidRPr="008729B7" w:rsidRDefault="008729B7" w:rsidP="00F803A9"/>
        </w:tc>
        <w:tc>
          <w:tcPr>
            <w:tcW w:w="1936" w:type="dxa"/>
            <w:vMerge w:val="restart"/>
            <w:shd w:val="clear" w:color="auto" w:fill="CCFFCC"/>
          </w:tcPr>
          <w:p w:rsidR="008729B7" w:rsidRPr="008729B7" w:rsidRDefault="008729B7" w:rsidP="00F803A9">
            <w:pPr>
              <w:jc w:val="both"/>
              <w:rPr>
                <w:b/>
                <w:bCs/>
              </w:rPr>
            </w:pPr>
            <w:r w:rsidRPr="008729B7">
              <w:rPr>
                <w:b/>
                <w:bCs/>
                <w:color w:val="0000FF"/>
                <w:spacing w:val="-1"/>
              </w:rPr>
              <w:t>Proposition du candidat (de</w:t>
            </w:r>
            <w:r w:rsidRPr="008729B7">
              <w:rPr>
                <w:b/>
                <w:bCs/>
                <w:color w:val="0000FF"/>
                <w:spacing w:val="1"/>
              </w:rPr>
              <w:t>sc</w:t>
            </w:r>
            <w:r w:rsidRPr="008729B7">
              <w:rPr>
                <w:b/>
                <w:bCs/>
                <w:color w:val="0000FF"/>
                <w:spacing w:val="-1"/>
              </w:rPr>
              <w:t>r</w:t>
            </w:r>
            <w:r w:rsidRPr="008729B7">
              <w:rPr>
                <w:b/>
                <w:bCs/>
                <w:color w:val="0000FF"/>
              </w:rPr>
              <w:t xml:space="preserve">iption </w:t>
            </w:r>
            <w:r w:rsidRPr="008729B7">
              <w:rPr>
                <w:b/>
                <w:bCs/>
                <w:color w:val="0000FF"/>
                <w:spacing w:val="-1"/>
              </w:rPr>
              <w:t>dé</w:t>
            </w:r>
            <w:r w:rsidRPr="008729B7">
              <w:rPr>
                <w:b/>
                <w:bCs/>
                <w:color w:val="0000FF"/>
                <w:spacing w:val="1"/>
              </w:rPr>
              <w:t>t</w:t>
            </w:r>
            <w:r w:rsidRPr="008729B7">
              <w:rPr>
                <w:b/>
                <w:bCs/>
                <w:color w:val="0000FF"/>
                <w:spacing w:val="-1"/>
              </w:rPr>
              <w:t>a</w:t>
            </w:r>
            <w:r w:rsidRPr="008729B7">
              <w:rPr>
                <w:b/>
                <w:bCs/>
                <w:color w:val="0000FF"/>
              </w:rPr>
              <w:t xml:space="preserve">illée </w:t>
            </w:r>
            <w:r w:rsidRPr="008729B7">
              <w:rPr>
                <w:b/>
                <w:bCs/>
                <w:color w:val="0000FF"/>
                <w:spacing w:val="-1"/>
              </w:rPr>
              <w:t>pou</w:t>
            </w:r>
            <w:r w:rsidRPr="008729B7">
              <w:rPr>
                <w:b/>
                <w:bCs/>
                <w:color w:val="0000FF"/>
              </w:rPr>
              <w:t xml:space="preserve">r </w:t>
            </w:r>
            <w:r w:rsidRPr="008729B7">
              <w:rPr>
                <w:b/>
                <w:bCs/>
                <w:color w:val="0000FF"/>
                <w:spacing w:val="1"/>
              </w:rPr>
              <w:t>c</w:t>
            </w:r>
            <w:r w:rsidRPr="008729B7">
              <w:rPr>
                <w:b/>
                <w:bCs/>
                <w:color w:val="0000FF"/>
                <w:spacing w:val="-1"/>
              </w:rPr>
              <w:t>haqu</w:t>
            </w:r>
            <w:r w:rsidRPr="008729B7">
              <w:rPr>
                <w:b/>
                <w:bCs/>
                <w:color w:val="0000FF"/>
              </w:rPr>
              <w:t xml:space="preserve">e </w:t>
            </w:r>
            <w:r w:rsidRPr="008729B7">
              <w:rPr>
                <w:b/>
                <w:bCs/>
                <w:color w:val="0000FF"/>
                <w:spacing w:val="1"/>
              </w:rPr>
              <w:t>c</w:t>
            </w:r>
            <w:r w:rsidRPr="008729B7">
              <w:rPr>
                <w:b/>
                <w:bCs/>
                <w:color w:val="0000FF"/>
                <w:spacing w:val="-1"/>
              </w:rPr>
              <w:t>ara</w:t>
            </w:r>
            <w:r w:rsidRPr="008729B7">
              <w:rPr>
                <w:b/>
                <w:bCs/>
                <w:color w:val="0000FF"/>
                <w:spacing w:val="1"/>
              </w:rPr>
              <w:t>ct</w:t>
            </w:r>
            <w:r w:rsidRPr="008729B7">
              <w:rPr>
                <w:b/>
                <w:bCs/>
                <w:color w:val="0000FF"/>
                <w:spacing w:val="-1"/>
              </w:rPr>
              <w:t>ér</w:t>
            </w:r>
            <w:r w:rsidRPr="008729B7">
              <w:rPr>
                <w:b/>
                <w:bCs/>
                <w:color w:val="0000FF"/>
              </w:rPr>
              <w:t>i</w:t>
            </w:r>
            <w:r w:rsidRPr="008729B7">
              <w:rPr>
                <w:b/>
                <w:bCs/>
                <w:color w:val="0000FF"/>
                <w:spacing w:val="1"/>
              </w:rPr>
              <w:t>st</w:t>
            </w:r>
            <w:r w:rsidRPr="008729B7">
              <w:rPr>
                <w:b/>
                <w:bCs/>
                <w:color w:val="0000FF"/>
              </w:rPr>
              <w:t>iq</w:t>
            </w:r>
            <w:r w:rsidRPr="008729B7">
              <w:rPr>
                <w:b/>
                <w:bCs/>
                <w:color w:val="0000FF"/>
                <w:spacing w:val="-1"/>
              </w:rPr>
              <w:t>ue</w:t>
            </w:r>
            <w:r w:rsidRPr="008729B7">
              <w:rPr>
                <w:b/>
                <w:bCs/>
                <w:color w:val="0000FF"/>
              </w:rPr>
              <w:t>)</w:t>
            </w:r>
          </w:p>
        </w:tc>
      </w:tr>
      <w:tr w:rsidR="008729B7" w:rsidRPr="007A2179" w:rsidTr="00F803A9">
        <w:tc>
          <w:tcPr>
            <w:tcW w:w="7886" w:type="dxa"/>
            <w:shd w:val="clear" w:color="auto" w:fill="CCFFCC"/>
          </w:tcPr>
          <w:p w:rsidR="008729B7" w:rsidRPr="008729B7" w:rsidRDefault="008729B7" w:rsidP="00F803A9"/>
        </w:tc>
        <w:tc>
          <w:tcPr>
            <w:tcW w:w="473" w:type="dxa"/>
            <w:shd w:val="clear" w:color="auto" w:fill="CCFFCC"/>
          </w:tcPr>
          <w:p w:rsidR="008729B7" w:rsidRPr="008729B7" w:rsidRDefault="008729B7" w:rsidP="00F803A9">
            <w:r w:rsidRPr="008729B7">
              <w:t>F</w:t>
            </w:r>
          </w:p>
        </w:tc>
        <w:tc>
          <w:tcPr>
            <w:tcW w:w="473" w:type="dxa"/>
            <w:shd w:val="clear" w:color="auto" w:fill="CCFFCC"/>
          </w:tcPr>
          <w:p w:rsidR="008729B7" w:rsidRPr="008729B7" w:rsidRDefault="008729B7" w:rsidP="00F803A9">
            <w:r w:rsidRPr="008729B7">
              <w:t>E</w:t>
            </w:r>
          </w:p>
        </w:tc>
        <w:tc>
          <w:tcPr>
            <w:tcW w:w="1936" w:type="dxa"/>
            <w:vMerge/>
            <w:shd w:val="clear" w:color="auto" w:fill="CCFFCC"/>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Matériel permettant :</w:t>
            </w:r>
          </w:p>
        </w:tc>
        <w:tc>
          <w:tcPr>
            <w:tcW w:w="473" w:type="dxa"/>
            <w:shd w:val="clear" w:color="auto" w:fill="CCFFCC"/>
          </w:tcPr>
          <w:p w:rsidR="008729B7" w:rsidRPr="008729B7" w:rsidRDefault="008729B7" w:rsidP="00F803A9"/>
        </w:tc>
        <w:tc>
          <w:tcPr>
            <w:tcW w:w="473" w:type="dxa"/>
            <w:shd w:val="clear" w:color="auto" w:fill="CCFFCC"/>
          </w:tcPr>
          <w:p w:rsidR="008729B7" w:rsidRPr="008729B7" w:rsidRDefault="008729B7" w:rsidP="00F803A9"/>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 xml:space="preserve">l’inspection de cartes électroniques, circuits imprimés et composants par émission de rayons x, </w:t>
            </w:r>
          </w:p>
        </w:tc>
        <w:tc>
          <w:tcPr>
            <w:tcW w:w="473" w:type="dxa"/>
          </w:tcPr>
          <w:p w:rsidR="008729B7" w:rsidRPr="008729B7" w:rsidRDefault="008729B7" w:rsidP="00F803A9"/>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inspection en temps réel par émission en continu</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la réalisation de clichés au format informatique par imagerie numérique</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Sécurité et réglementation</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Radiations &lt; 1.0 µSv/h à 10 cm de l’enceinte</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Matériel conforme à la NFC 74100</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Matériel uniquement soumis à déclaration</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Type de matériel</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Générateur électrique de rayons x en enceinte auto protégée</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Installation en poste fixe</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Faisceau rayons x vertical</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Inspection en temps réel</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Système d’imagerie numérique et informatique</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Tube rayons x</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Haute tension ajustable jusqu’à 130kV minimum</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Générateur haute-tension associé</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Mise à jour possible vers tension supérieure ultérieurement</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Puissance maximale 20W</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Tube ouvert à transmission</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Taille du foyer RX variable (fonction puissance en W)</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Détectabilité 0,5µm</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Imagerie numérique</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Détecteur de type « flat panel » ou supérieur</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pPr>
            <w:r w:rsidRPr="008729B7">
              <w:t>Ecran de visualisation</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pPr>
            <w:r w:rsidRPr="008729B7">
              <w:t>Plus petit détail visible 1,5µm</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 xml:space="preserve">Possibilités d’analyse de joints de soudure type BGA, </w:t>
            </w:r>
            <w:proofErr w:type="spellStart"/>
            <w:r w:rsidRPr="008729B7">
              <w:rPr>
                <w:color w:val="000000"/>
              </w:rPr>
              <w:t>Voiding</w:t>
            </w:r>
            <w:proofErr w:type="spellEnd"/>
            <w:r w:rsidRPr="008729B7">
              <w:rPr>
                <w:color w:val="000000"/>
              </w:rPr>
              <w:t xml:space="preserve">, QFN, </w:t>
            </w:r>
            <w:proofErr w:type="spellStart"/>
            <w:r w:rsidRPr="008729B7">
              <w:rPr>
                <w:color w:val="000000"/>
              </w:rPr>
              <w:t>Traversants</w:t>
            </w:r>
            <w:proofErr w:type="spellEnd"/>
            <w:r w:rsidRPr="008729B7">
              <w:rPr>
                <w:color w:val="000000"/>
              </w:rPr>
              <w:t>…</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Manipulateur</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3 axes linéaires (x, y, z)</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Tilt de 0 à 70°</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Rotation Thêta 360°</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 xml:space="preserve">Système </w:t>
            </w:r>
            <w:proofErr w:type="spellStart"/>
            <w:r w:rsidRPr="008729B7">
              <w:rPr>
                <w:color w:val="000000"/>
              </w:rPr>
              <w:t>anti-collision</w:t>
            </w:r>
            <w:proofErr w:type="spellEnd"/>
            <w:r w:rsidRPr="008729B7">
              <w:rPr>
                <w:color w:val="000000"/>
              </w:rPr>
              <w:t xml:space="preserve"> tube plateau</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Asservissement mécanique type CNC et sans vibration du centrage de l’image</w:t>
            </w:r>
          </w:p>
        </w:tc>
        <w:tc>
          <w:tcPr>
            <w:tcW w:w="473" w:type="dxa"/>
          </w:tcPr>
          <w:p w:rsidR="008729B7" w:rsidRPr="008729B7" w:rsidRDefault="008729B7" w:rsidP="00F803A9">
            <w:pPr>
              <w:jc w:val="center"/>
              <w:rPr>
                <w:color w:val="000000"/>
              </w:rPr>
            </w:pPr>
            <w:r w:rsidRPr="008729B7">
              <w:rPr>
                <w:color w:val="000000"/>
              </w:rPr>
              <w:t>3</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Suivi de zone d’intérêt automatique</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Poids maximum de l’échantillon 5kg</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2"/>
              </w:numPr>
              <w:overflowPunct/>
              <w:autoSpaceDE/>
              <w:autoSpaceDN/>
              <w:adjustRightInd/>
              <w:jc w:val="both"/>
              <w:textAlignment w:val="auto"/>
              <w:rPr>
                <w:color w:val="000000"/>
              </w:rPr>
            </w:pPr>
            <w:r w:rsidRPr="008729B7">
              <w:rPr>
                <w:color w:val="000000"/>
              </w:rPr>
              <w:t xml:space="preserve">Zone d’analyse 300 x 300 mm minimum </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shd w:val="clear" w:color="auto" w:fill="CCFFCC"/>
          </w:tcPr>
          <w:p w:rsidR="008729B7" w:rsidRPr="008729B7" w:rsidRDefault="008729B7" w:rsidP="00F803A9">
            <w:pPr>
              <w:jc w:val="both"/>
              <w:rPr>
                <w:color w:val="000000"/>
              </w:rPr>
            </w:pPr>
            <w:r w:rsidRPr="008729B7">
              <w:rPr>
                <w:color w:val="000000"/>
              </w:rPr>
              <w:t>Spécifications particulières</w:t>
            </w:r>
          </w:p>
        </w:tc>
        <w:tc>
          <w:tcPr>
            <w:tcW w:w="473" w:type="dxa"/>
            <w:shd w:val="clear" w:color="auto" w:fill="CCFFCC"/>
          </w:tcPr>
          <w:p w:rsidR="008729B7" w:rsidRPr="008729B7" w:rsidRDefault="008729B7" w:rsidP="00F803A9">
            <w:pPr>
              <w:jc w:val="center"/>
              <w:rPr>
                <w:color w:val="000000"/>
              </w:rPr>
            </w:pPr>
          </w:p>
        </w:tc>
        <w:tc>
          <w:tcPr>
            <w:tcW w:w="473" w:type="dxa"/>
            <w:shd w:val="clear" w:color="auto" w:fill="CCFFCC"/>
            <w:vAlign w:val="center"/>
          </w:tcPr>
          <w:p w:rsidR="008729B7" w:rsidRPr="008729B7" w:rsidRDefault="008729B7" w:rsidP="00F803A9">
            <w:pPr>
              <w:jc w:val="center"/>
            </w:pPr>
          </w:p>
        </w:tc>
        <w:tc>
          <w:tcPr>
            <w:tcW w:w="1936" w:type="dxa"/>
            <w:shd w:val="clear" w:color="auto" w:fill="CCFFCC"/>
          </w:tcPr>
          <w:p w:rsidR="008729B7" w:rsidRPr="008729B7" w:rsidRDefault="008729B7" w:rsidP="00F803A9"/>
        </w:tc>
      </w:tr>
      <w:tr w:rsidR="008729B7" w:rsidRPr="007A2179" w:rsidTr="00F803A9">
        <w:trPr>
          <w:trHeight w:val="72"/>
        </w:trPr>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Livraison, installation mise en service et formation incluse</w:t>
            </w:r>
          </w:p>
        </w:tc>
        <w:tc>
          <w:tcPr>
            <w:tcW w:w="473" w:type="dxa"/>
          </w:tcPr>
          <w:p w:rsidR="008729B7" w:rsidRPr="008729B7" w:rsidRDefault="008729B7" w:rsidP="00F803A9">
            <w:pPr>
              <w:jc w:val="center"/>
              <w:rPr>
                <w:color w:val="000000"/>
              </w:rPr>
            </w:pPr>
            <w:r w:rsidRPr="008729B7">
              <w:rPr>
                <w:color w:val="000000"/>
              </w:rPr>
              <w:t>2</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pPr>
            <w:r w:rsidRPr="008729B7">
              <w:t>Reprise de l’ancien générateur.</w:t>
            </w:r>
          </w:p>
        </w:tc>
        <w:tc>
          <w:tcPr>
            <w:tcW w:w="473" w:type="dxa"/>
          </w:tcPr>
          <w:p w:rsidR="008729B7" w:rsidRPr="008729B7" w:rsidRDefault="008729B7" w:rsidP="00F803A9">
            <w:pPr>
              <w:jc w:val="center"/>
              <w:rPr>
                <w:color w:val="000000"/>
              </w:rPr>
            </w:pP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Changement du filament du tube réalisable en interne (durée intervention &lt;20min.)</w:t>
            </w:r>
          </w:p>
        </w:tc>
        <w:tc>
          <w:tcPr>
            <w:tcW w:w="473" w:type="dxa"/>
          </w:tcPr>
          <w:p w:rsidR="008729B7" w:rsidRPr="008729B7" w:rsidRDefault="008729B7" w:rsidP="00F803A9">
            <w:pPr>
              <w:jc w:val="center"/>
              <w:rPr>
                <w:color w:val="000000"/>
              </w:rPr>
            </w:pPr>
            <w:r w:rsidRPr="008729B7">
              <w:rPr>
                <w:color w:val="000000"/>
              </w:rPr>
              <w:t>5</w:t>
            </w:r>
          </w:p>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Fenêtre de visualisation en verre plombé</w:t>
            </w:r>
          </w:p>
        </w:tc>
        <w:tc>
          <w:tcPr>
            <w:tcW w:w="473" w:type="dxa"/>
          </w:tcPr>
          <w:p w:rsidR="008729B7" w:rsidRPr="008729B7" w:rsidRDefault="008729B7" w:rsidP="00F803A9"/>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Manuel et SAV en français</w:t>
            </w:r>
          </w:p>
        </w:tc>
        <w:tc>
          <w:tcPr>
            <w:tcW w:w="473" w:type="dxa"/>
          </w:tcPr>
          <w:p w:rsidR="008729B7" w:rsidRPr="008729B7" w:rsidRDefault="008729B7" w:rsidP="00F803A9"/>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rPr>
                <w:color w:val="000000"/>
              </w:rPr>
            </w:pPr>
            <w:r w:rsidRPr="008729B7">
              <w:rPr>
                <w:color w:val="000000"/>
              </w:rPr>
              <w:t>Marquages de sécurité en Français</w:t>
            </w:r>
          </w:p>
        </w:tc>
        <w:tc>
          <w:tcPr>
            <w:tcW w:w="473" w:type="dxa"/>
          </w:tcPr>
          <w:p w:rsidR="008729B7" w:rsidRPr="008729B7" w:rsidRDefault="008729B7" w:rsidP="00F803A9"/>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r w:rsidR="008729B7" w:rsidRPr="007A2179" w:rsidTr="00F803A9">
        <w:tc>
          <w:tcPr>
            <w:tcW w:w="7886" w:type="dxa"/>
          </w:tcPr>
          <w:p w:rsidR="008729B7" w:rsidRPr="008729B7" w:rsidRDefault="008729B7" w:rsidP="00F803A9">
            <w:pPr>
              <w:numPr>
                <w:ilvl w:val="0"/>
                <w:numId w:val="11"/>
              </w:numPr>
              <w:overflowPunct/>
              <w:autoSpaceDE/>
              <w:autoSpaceDN/>
              <w:adjustRightInd/>
              <w:jc w:val="both"/>
              <w:textAlignment w:val="auto"/>
            </w:pPr>
            <w:r w:rsidRPr="008729B7">
              <w:rPr>
                <w:color w:val="000000"/>
              </w:rPr>
              <w:t>Alimentation électrique 220V</w:t>
            </w:r>
          </w:p>
        </w:tc>
        <w:tc>
          <w:tcPr>
            <w:tcW w:w="473" w:type="dxa"/>
          </w:tcPr>
          <w:p w:rsidR="008729B7" w:rsidRPr="008729B7" w:rsidRDefault="008729B7" w:rsidP="00F803A9"/>
        </w:tc>
        <w:tc>
          <w:tcPr>
            <w:tcW w:w="473" w:type="dxa"/>
            <w:vAlign w:val="center"/>
          </w:tcPr>
          <w:p w:rsidR="008729B7" w:rsidRPr="008729B7" w:rsidRDefault="008729B7" w:rsidP="00F803A9">
            <w:pPr>
              <w:jc w:val="center"/>
            </w:pPr>
            <w:r w:rsidRPr="008729B7">
              <w:t>X</w:t>
            </w:r>
          </w:p>
        </w:tc>
        <w:tc>
          <w:tcPr>
            <w:tcW w:w="1936" w:type="dxa"/>
          </w:tcPr>
          <w:p w:rsidR="008729B7" w:rsidRPr="008729B7" w:rsidRDefault="008729B7" w:rsidP="00F803A9"/>
        </w:tc>
      </w:tr>
    </w:tbl>
    <w:p w:rsidR="008729B7" w:rsidRPr="008729B7" w:rsidRDefault="008729B7" w:rsidP="008729B7">
      <w:pPr>
        <w:overflowPunct/>
        <w:autoSpaceDE/>
        <w:autoSpaceDN/>
        <w:adjustRightInd/>
        <w:spacing w:before="7"/>
        <w:ind w:right="1068"/>
        <w:textAlignment w:val="auto"/>
        <w:rPr>
          <w:rFonts w:ascii="Arial" w:hAnsi="Arial" w:cs="Arial"/>
        </w:rPr>
      </w:pPr>
    </w:p>
    <w:p w:rsidR="00D911D4" w:rsidRPr="00D911D4" w:rsidRDefault="00D911D4" w:rsidP="00D911D4">
      <w:pPr>
        <w:overflowPunct/>
        <w:autoSpaceDE/>
        <w:autoSpaceDN/>
        <w:adjustRightInd/>
        <w:spacing w:before="7"/>
        <w:ind w:right="1068"/>
        <w:textAlignment w:val="auto"/>
        <w:rPr>
          <w:rFonts w:ascii="Arial" w:eastAsia="Arial" w:hAnsi="Arial" w:cs="Arial"/>
        </w:rPr>
      </w:pPr>
    </w:p>
    <w:p w:rsidR="009274C9" w:rsidRPr="00523EF4" w:rsidRDefault="009274C9" w:rsidP="009274C9">
      <w:pPr>
        <w:spacing w:before="7"/>
        <w:ind w:right="1068"/>
        <w:rPr>
          <w:rFonts w:ascii="Arial" w:eastAsia="Arial" w:hAnsi="Arial" w:cs="Arial"/>
        </w:rPr>
      </w:pPr>
    </w:p>
    <w:p w:rsidR="00D911D4" w:rsidRPr="004F1D78" w:rsidRDefault="00D911D4" w:rsidP="00D911D4">
      <w:pPr>
        <w:rPr>
          <w:rFonts w:ascii="Arial" w:eastAsia="Arial" w:hAnsi="Arial" w:cs="Arial"/>
        </w:rPr>
        <w:sectPr w:rsidR="00D911D4" w:rsidRPr="004F1D78" w:rsidSect="00D75D3F">
          <w:footerReference w:type="default" r:id="rId8"/>
          <w:headerReference w:type="first" r:id="rId9"/>
          <w:footerReference w:type="first" r:id="rId10"/>
          <w:pgSz w:w="11920" w:h="16840"/>
          <w:pgMar w:top="907" w:right="301" w:bottom="278" w:left="879" w:header="584" w:footer="1701" w:gutter="0"/>
          <w:cols w:space="720"/>
          <w:docGrid w:linePitch="272"/>
        </w:sectPr>
      </w:pPr>
    </w:p>
    <w:p w:rsidR="00B647B8" w:rsidRDefault="00B647B8" w:rsidP="006071B3"/>
    <w:p w:rsidR="006071B3" w:rsidRDefault="006071B3" w:rsidP="006071B3"/>
    <w:p w:rsidR="006071B3" w:rsidRDefault="006071B3" w:rsidP="006071B3"/>
    <w:p w:rsidR="006071B3" w:rsidRPr="000F0FD5" w:rsidRDefault="006071B3" w:rsidP="006071B3">
      <w:pPr>
        <w:spacing w:before="13" w:line="220" w:lineRule="exact"/>
        <w:rPr>
          <w:sz w:val="22"/>
          <w:szCs w:val="22"/>
        </w:rPr>
      </w:pPr>
    </w:p>
    <w:p w:rsidR="00332FDA" w:rsidRDefault="00332FDA" w:rsidP="00603F7D">
      <w:pPr>
        <w:pStyle w:val="Titre3"/>
      </w:pPr>
      <w:bookmarkStart w:id="6" w:name="_Toc440976890"/>
      <w:r w:rsidRPr="00480B66">
        <w:rPr>
          <w:u w:val="single"/>
        </w:rPr>
        <w:t>A</w:t>
      </w:r>
      <w:r w:rsidR="00603F7D">
        <w:rPr>
          <w:u w:val="single"/>
        </w:rPr>
        <w:t>rticle</w:t>
      </w:r>
      <w:r w:rsidRPr="00480B66">
        <w:rPr>
          <w:u w:val="single"/>
        </w:rPr>
        <w:t xml:space="preserve"> </w:t>
      </w:r>
      <w:r w:rsidR="00D5739F">
        <w:rPr>
          <w:u w:val="single"/>
        </w:rPr>
        <w:t>6</w:t>
      </w:r>
      <w:r w:rsidRPr="00480B66">
        <w:t xml:space="preserve"> :</w:t>
      </w:r>
      <w:r w:rsidR="00146D6A" w:rsidRPr="00480B66">
        <w:t xml:space="preserve"> </w:t>
      </w:r>
      <w:r w:rsidR="00603F7D">
        <w:t>Modalités d’établissement des prix</w:t>
      </w:r>
      <w:bookmarkEnd w:id="6"/>
    </w:p>
    <w:p w:rsidR="00E13538" w:rsidRPr="00E13538" w:rsidRDefault="00E13538" w:rsidP="00E13538"/>
    <w:p w:rsidR="00B647B8" w:rsidRDefault="00B647B8" w:rsidP="00B647B8">
      <w:pPr>
        <w:spacing w:before="39" w:line="220" w:lineRule="exact"/>
        <w:ind w:left="816" w:right="656"/>
        <w:rPr>
          <w:spacing w:val="1"/>
        </w:rPr>
      </w:pPr>
      <w:r w:rsidRPr="007C38EA">
        <w:rPr>
          <w:spacing w:val="1"/>
        </w:rPr>
        <w:t>Les prestations suivantes, telles que définies dans le CCTP, sont comprises. Leurs prix et délais sont donc à intégrer au lot :</w:t>
      </w:r>
    </w:p>
    <w:p w:rsidR="00E13538" w:rsidRPr="007C38EA" w:rsidRDefault="00E13538" w:rsidP="00B647B8">
      <w:pPr>
        <w:spacing w:before="39" w:line="220" w:lineRule="exact"/>
        <w:ind w:left="816" w:right="656"/>
        <w:rPr>
          <w:spacing w:val="1"/>
        </w:rPr>
      </w:pPr>
    </w:p>
    <w:p w:rsidR="00B647B8" w:rsidRPr="007C38EA" w:rsidRDefault="00B647B8" w:rsidP="00B647B8">
      <w:pPr>
        <w:ind w:left="816"/>
        <w:rPr>
          <w:spacing w:val="1"/>
        </w:rPr>
      </w:pPr>
      <w:r w:rsidRPr="007C38EA">
        <w:rPr>
          <w:spacing w:val="1"/>
        </w:rPr>
        <w:t>-     livraison, déchargement et mise en place</w:t>
      </w:r>
    </w:p>
    <w:p w:rsidR="00B647B8" w:rsidRDefault="00B647B8" w:rsidP="00B647B8">
      <w:pPr>
        <w:spacing w:line="220" w:lineRule="exact"/>
        <w:ind w:left="816"/>
        <w:rPr>
          <w:spacing w:val="1"/>
        </w:rPr>
      </w:pPr>
      <w:r w:rsidRPr="007C38EA">
        <w:rPr>
          <w:spacing w:val="1"/>
        </w:rPr>
        <w:t>-     raccordement de toutes les énergies</w:t>
      </w:r>
    </w:p>
    <w:p w:rsidR="00093967" w:rsidRDefault="00B647B8" w:rsidP="00B647B8">
      <w:pPr>
        <w:spacing w:line="220" w:lineRule="exact"/>
        <w:ind w:left="816"/>
        <w:rPr>
          <w:spacing w:val="1"/>
        </w:rPr>
      </w:pPr>
      <w:r>
        <w:rPr>
          <w:spacing w:val="1"/>
        </w:rPr>
        <w:t>-     maintenance</w:t>
      </w:r>
    </w:p>
    <w:p w:rsidR="00B647B8" w:rsidRDefault="00B647B8" w:rsidP="00B647B8">
      <w:pPr>
        <w:spacing w:line="220" w:lineRule="exact"/>
        <w:ind w:left="816"/>
        <w:rPr>
          <w:spacing w:val="1"/>
        </w:rPr>
      </w:pPr>
      <w:r w:rsidRPr="007C38EA">
        <w:rPr>
          <w:spacing w:val="1"/>
        </w:rPr>
        <w:t>-     mise en route et aide à la prise en main</w:t>
      </w:r>
    </w:p>
    <w:p w:rsidR="00E13538" w:rsidRPr="007C38EA" w:rsidRDefault="00E13538" w:rsidP="00B647B8">
      <w:pPr>
        <w:spacing w:line="220" w:lineRule="exact"/>
        <w:ind w:left="816"/>
        <w:rPr>
          <w:spacing w:val="1"/>
        </w:rPr>
      </w:pPr>
    </w:p>
    <w:p w:rsidR="00165198" w:rsidRDefault="00165198" w:rsidP="0095692D">
      <w:pPr>
        <w:jc w:val="both"/>
      </w:pPr>
    </w:p>
    <w:p w:rsidR="00780C22" w:rsidRPr="003442D1" w:rsidRDefault="0059351C" w:rsidP="0095692D">
      <w:pPr>
        <w:jc w:val="both"/>
        <w:rPr>
          <w:b/>
          <w:sz w:val="22"/>
          <w:szCs w:val="22"/>
        </w:rPr>
      </w:pPr>
      <w:r w:rsidRPr="003442D1">
        <w:rPr>
          <w:b/>
          <w:sz w:val="22"/>
          <w:szCs w:val="22"/>
        </w:rPr>
        <w:t>Mise en route et aide à la prise en main</w:t>
      </w:r>
    </w:p>
    <w:p w:rsidR="00165198" w:rsidRDefault="00165198" w:rsidP="0095692D">
      <w:pPr>
        <w:jc w:val="both"/>
      </w:pPr>
    </w:p>
    <w:p w:rsidR="00165198" w:rsidRPr="008175B0" w:rsidRDefault="00165198" w:rsidP="00165198">
      <w:pPr>
        <w:spacing w:before="29"/>
        <w:ind w:left="-284"/>
        <w:rPr>
          <w:spacing w:val="3"/>
        </w:rPr>
      </w:pPr>
      <w:r w:rsidRPr="008175B0">
        <w:rPr>
          <w:spacing w:val="3"/>
        </w:rPr>
        <w:t xml:space="preserve">Le candidat proposera obligatoirement une prise en main pour l'utilisation </w:t>
      </w:r>
      <w:r w:rsidR="00093967">
        <w:rPr>
          <w:spacing w:val="3"/>
        </w:rPr>
        <w:t>du générateur de rayons x</w:t>
      </w:r>
      <w:r w:rsidRPr="008175B0">
        <w:rPr>
          <w:spacing w:val="3"/>
        </w:rPr>
        <w:t>.</w:t>
      </w:r>
    </w:p>
    <w:p w:rsidR="00165198" w:rsidRDefault="00165198" w:rsidP="0095692D">
      <w:pPr>
        <w:jc w:val="both"/>
      </w:pPr>
    </w:p>
    <w:p w:rsidR="00165198" w:rsidRDefault="00165198" w:rsidP="0095692D">
      <w:pPr>
        <w:jc w:val="both"/>
      </w:pPr>
    </w:p>
    <w:p w:rsidR="00780C22" w:rsidRPr="003442D1" w:rsidRDefault="00165198" w:rsidP="0095692D">
      <w:pPr>
        <w:jc w:val="both"/>
        <w:rPr>
          <w:rFonts w:asciiTheme="majorHAnsi" w:hAnsiTheme="majorHAnsi"/>
          <w:b/>
          <w:sz w:val="24"/>
          <w:szCs w:val="24"/>
        </w:rPr>
      </w:pPr>
      <w:r w:rsidRPr="003442D1">
        <w:rPr>
          <w:rFonts w:asciiTheme="majorHAnsi" w:hAnsiTheme="majorHAnsi"/>
          <w:b/>
          <w:sz w:val="24"/>
          <w:szCs w:val="24"/>
          <w:u w:val="single"/>
        </w:rPr>
        <w:t>Article 7</w:t>
      </w:r>
      <w:r w:rsidRPr="003442D1">
        <w:rPr>
          <w:rFonts w:asciiTheme="majorHAnsi" w:hAnsiTheme="majorHAnsi"/>
          <w:b/>
          <w:sz w:val="24"/>
          <w:szCs w:val="24"/>
        </w:rPr>
        <w:t> : Garantie</w:t>
      </w:r>
    </w:p>
    <w:p w:rsidR="00165198" w:rsidRDefault="00165198" w:rsidP="0095692D">
      <w:pPr>
        <w:jc w:val="both"/>
      </w:pPr>
      <w:r>
        <w:t>La garantie devra être comprise entre 24 et 48 mois</w:t>
      </w:r>
    </w:p>
    <w:p w:rsidR="00165198" w:rsidRDefault="00165198" w:rsidP="0095692D">
      <w:pPr>
        <w:jc w:val="both"/>
      </w:pPr>
    </w:p>
    <w:p w:rsidR="00332FDA" w:rsidRPr="003442D1" w:rsidRDefault="00165198" w:rsidP="00143573">
      <w:pPr>
        <w:pStyle w:val="Titre3"/>
      </w:pPr>
      <w:bookmarkStart w:id="7" w:name="_Toc440976892"/>
      <w:r>
        <w:rPr>
          <w:u w:val="single"/>
        </w:rPr>
        <w:t>Article 8</w:t>
      </w:r>
      <w:r w:rsidR="00143573">
        <w:rPr>
          <w:u w:val="single"/>
        </w:rPr>
        <w:t xml:space="preserve"> </w:t>
      </w:r>
      <w:r w:rsidR="00143573" w:rsidRPr="003442D1">
        <w:t>Cautionnement</w:t>
      </w:r>
      <w:bookmarkEnd w:id="7"/>
    </w:p>
    <w:p w:rsidR="00332FDA" w:rsidRPr="000A3EA1" w:rsidRDefault="00332FDA">
      <w:pPr>
        <w:jc w:val="both"/>
      </w:pPr>
    </w:p>
    <w:p w:rsidR="00332FDA" w:rsidRDefault="00332FDA">
      <w:pPr>
        <w:jc w:val="both"/>
      </w:pPr>
      <w:r w:rsidRPr="000A3EA1">
        <w:t xml:space="preserve">Le titulaire est dispensé de la constitution d'un cautionnement. </w:t>
      </w:r>
    </w:p>
    <w:p w:rsidR="00720435" w:rsidRPr="000A3EA1" w:rsidRDefault="00720435">
      <w:pPr>
        <w:jc w:val="both"/>
      </w:pPr>
    </w:p>
    <w:p w:rsidR="00332FDA" w:rsidRPr="00143573" w:rsidRDefault="00165198" w:rsidP="00143573">
      <w:pPr>
        <w:pStyle w:val="Titre3"/>
        <w:rPr>
          <w:u w:val="single"/>
        </w:rPr>
      </w:pPr>
      <w:bookmarkStart w:id="8" w:name="_Toc440976893"/>
      <w:r>
        <w:rPr>
          <w:u w:val="single"/>
        </w:rPr>
        <w:t>Article 9</w:t>
      </w:r>
      <w:r w:rsidR="00143573">
        <w:rPr>
          <w:u w:val="single"/>
        </w:rPr>
        <w:t xml:space="preserve"> </w:t>
      </w:r>
      <w:r w:rsidR="00143573" w:rsidRPr="003442D1">
        <w:t>Avance forfaitaire</w:t>
      </w:r>
      <w:bookmarkEnd w:id="8"/>
    </w:p>
    <w:p w:rsidR="00332FDA" w:rsidRPr="000A3EA1" w:rsidRDefault="00332FDA">
      <w:pPr>
        <w:jc w:val="both"/>
      </w:pPr>
    </w:p>
    <w:p w:rsidR="00332FDA" w:rsidRPr="000A3EA1" w:rsidRDefault="00332FDA">
      <w:pPr>
        <w:jc w:val="both"/>
      </w:pPr>
      <w:r w:rsidRPr="000A3EA1">
        <w:t>Il</w:t>
      </w:r>
      <w:r w:rsidR="00754D96" w:rsidRPr="000A3EA1">
        <w:t xml:space="preserve"> peut être versé une avance de 5 %  si le marché dépasse 50.000 € HT et dure plus de deux mois. Le titulaire peut refuser le versement de cette avance.</w:t>
      </w:r>
    </w:p>
    <w:p w:rsidR="00332FDA" w:rsidRPr="000A3EA1" w:rsidRDefault="00332FDA">
      <w:pPr>
        <w:jc w:val="both"/>
      </w:pPr>
    </w:p>
    <w:p w:rsidR="00332FDA" w:rsidRPr="00143573" w:rsidRDefault="00165198" w:rsidP="00143573">
      <w:pPr>
        <w:pStyle w:val="Titre3"/>
        <w:rPr>
          <w:u w:val="single"/>
        </w:rPr>
      </w:pPr>
      <w:bookmarkStart w:id="9" w:name="_Toc440976894"/>
      <w:r>
        <w:rPr>
          <w:u w:val="single"/>
        </w:rPr>
        <w:t>Article 10</w:t>
      </w:r>
      <w:r w:rsidRPr="003442D1">
        <w:t xml:space="preserve">  </w:t>
      </w:r>
      <w:r w:rsidR="00143573" w:rsidRPr="003442D1">
        <w:t>Acomptes et paiements partiels</w:t>
      </w:r>
      <w:bookmarkEnd w:id="9"/>
    </w:p>
    <w:p w:rsidR="00332FDA" w:rsidRPr="000A3EA1" w:rsidRDefault="00332FDA">
      <w:pPr>
        <w:jc w:val="both"/>
      </w:pPr>
    </w:p>
    <w:p w:rsidR="00332FDA" w:rsidRPr="000A3EA1" w:rsidRDefault="00332FDA">
      <w:pPr>
        <w:jc w:val="both"/>
      </w:pPr>
      <w:r w:rsidRPr="000A3EA1">
        <w:t xml:space="preserve">Pour mémoire. </w:t>
      </w:r>
    </w:p>
    <w:p w:rsidR="00332FDA" w:rsidRPr="000A3EA1" w:rsidRDefault="00332FDA">
      <w:pPr>
        <w:jc w:val="both"/>
      </w:pPr>
    </w:p>
    <w:p w:rsidR="00332FDA" w:rsidRPr="00143573" w:rsidRDefault="00165198" w:rsidP="00143573">
      <w:pPr>
        <w:pStyle w:val="Titre3"/>
        <w:rPr>
          <w:u w:val="single"/>
        </w:rPr>
      </w:pPr>
      <w:bookmarkStart w:id="10" w:name="_Toc440976895"/>
      <w:r>
        <w:rPr>
          <w:u w:val="single"/>
        </w:rPr>
        <w:t>Article 11</w:t>
      </w:r>
      <w:r w:rsidR="001E03AC" w:rsidRPr="003442D1">
        <w:t xml:space="preserve"> : </w:t>
      </w:r>
      <w:r w:rsidR="00143573" w:rsidRPr="003442D1">
        <w:t>Paiement et établissement de la facture</w:t>
      </w:r>
      <w:bookmarkEnd w:id="10"/>
    </w:p>
    <w:p w:rsidR="00332FDA" w:rsidRPr="000A3EA1" w:rsidRDefault="00332FDA">
      <w:pPr>
        <w:jc w:val="both"/>
      </w:pPr>
    </w:p>
    <w:p w:rsidR="00332FDA" w:rsidRPr="000A3EA1" w:rsidRDefault="00332FDA">
      <w:pPr>
        <w:jc w:val="both"/>
      </w:pPr>
      <w:r w:rsidRPr="000A3EA1">
        <w:t xml:space="preserve">Les factures afférentes au paiement, seront établies en </w:t>
      </w:r>
      <w:r w:rsidRPr="000A3EA1">
        <w:rPr>
          <w:b/>
        </w:rPr>
        <w:t>un original et deux copies</w:t>
      </w:r>
      <w:r w:rsidRPr="000A3EA1">
        <w:t xml:space="preserve"> portant, outre les mentions légales ou réglement</w:t>
      </w:r>
      <w:r w:rsidR="00546D5C" w:rsidRPr="000A3EA1">
        <w:t xml:space="preserve">aires, les indications suivantes </w:t>
      </w:r>
      <w:r w:rsidRPr="000A3EA1">
        <w:t xml:space="preserve">: </w:t>
      </w:r>
    </w:p>
    <w:p w:rsidR="00332FDA" w:rsidRPr="000A3EA1" w:rsidRDefault="00332FDA">
      <w:pPr>
        <w:jc w:val="both"/>
      </w:pPr>
    </w:p>
    <w:p w:rsidR="00332FDA" w:rsidRPr="000A3EA1" w:rsidRDefault="005A7FCA" w:rsidP="00546D5C">
      <w:pPr>
        <w:pStyle w:val="Paragraphedeliste"/>
        <w:numPr>
          <w:ilvl w:val="0"/>
          <w:numId w:val="1"/>
        </w:numPr>
        <w:jc w:val="both"/>
      </w:pPr>
      <w:r w:rsidRPr="000A3EA1">
        <w:t>les nom</w:t>
      </w:r>
      <w:r w:rsidR="00332FDA" w:rsidRPr="000A3EA1">
        <w:t xml:space="preserve"> et adresse du créancier</w:t>
      </w:r>
    </w:p>
    <w:p w:rsidR="00332FDA" w:rsidRPr="000A3EA1" w:rsidRDefault="00332FDA" w:rsidP="00546D5C">
      <w:pPr>
        <w:pStyle w:val="Paragraphedeliste"/>
        <w:numPr>
          <w:ilvl w:val="0"/>
          <w:numId w:val="1"/>
        </w:numPr>
        <w:jc w:val="both"/>
      </w:pPr>
      <w:r w:rsidRPr="000A3EA1">
        <w:t>le numéro de son compte bancaire ou postal tel qu'il est précisé à l'acte d'engagement</w:t>
      </w:r>
    </w:p>
    <w:p w:rsidR="00332FDA" w:rsidRPr="000A3EA1" w:rsidRDefault="00332FDA" w:rsidP="00546D5C">
      <w:pPr>
        <w:pStyle w:val="Paragraphedeliste"/>
        <w:numPr>
          <w:ilvl w:val="0"/>
          <w:numId w:val="1"/>
        </w:numPr>
        <w:jc w:val="both"/>
      </w:pPr>
      <w:r w:rsidRPr="000A3EA1">
        <w:t>le numéro et la date du marché et de chaque avenant, ainsi que le cas échéant, le numéro et la date des bons de commande</w:t>
      </w:r>
    </w:p>
    <w:p w:rsidR="00332FDA" w:rsidRPr="000A3EA1" w:rsidRDefault="00332FDA" w:rsidP="00546D5C">
      <w:pPr>
        <w:pStyle w:val="Paragraphedeliste"/>
        <w:numPr>
          <w:ilvl w:val="0"/>
          <w:numId w:val="1"/>
        </w:numPr>
        <w:jc w:val="both"/>
      </w:pPr>
      <w:r w:rsidRPr="000A3EA1">
        <w:t>la fourniture livrée</w:t>
      </w:r>
    </w:p>
    <w:p w:rsidR="00332FDA" w:rsidRPr="000A3EA1" w:rsidRDefault="00332FDA" w:rsidP="00546D5C">
      <w:pPr>
        <w:pStyle w:val="Paragraphedeliste"/>
        <w:numPr>
          <w:ilvl w:val="0"/>
          <w:numId w:val="1"/>
        </w:numPr>
        <w:jc w:val="both"/>
      </w:pPr>
      <w:r w:rsidRPr="000A3EA1">
        <w:t>le montant hors TVA de la fourniture exécutée, éventuellement ajustée ou remis à jour</w:t>
      </w:r>
    </w:p>
    <w:p w:rsidR="00332FDA" w:rsidRPr="000A3EA1" w:rsidRDefault="00332FDA" w:rsidP="00546D5C">
      <w:pPr>
        <w:pStyle w:val="Paragraphedeliste"/>
        <w:numPr>
          <w:ilvl w:val="0"/>
          <w:numId w:val="1"/>
        </w:numPr>
        <w:jc w:val="both"/>
      </w:pPr>
      <w:r w:rsidRPr="000A3EA1">
        <w:t>le prix des prestations accessoires</w:t>
      </w:r>
    </w:p>
    <w:p w:rsidR="00332FDA" w:rsidRPr="000A3EA1" w:rsidRDefault="00332FDA" w:rsidP="00546D5C">
      <w:pPr>
        <w:pStyle w:val="Paragraphedeliste"/>
        <w:numPr>
          <w:ilvl w:val="0"/>
          <w:numId w:val="1"/>
        </w:numPr>
        <w:jc w:val="both"/>
      </w:pPr>
      <w:r w:rsidRPr="000A3EA1">
        <w:t>éventuellement, le rabais ou le coefficient</w:t>
      </w:r>
    </w:p>
    <w:p w:rsidR="00332FDA" w:rsidRPr="000A3EA1" w:rsidRDefault="00332FDA" w:rsidP="00546D5C">
      <w:pPr>
        <w:pStyle w:val="Paragraphedeliste"/>
        <w:numPr>
          <w:ilvl w:val="0"/>
          <w:numId w:val="1"/>
        </w:numPr>
        <w:jc w:val="both"/>
      </w:pPr>
      <w:r w:rsidRPr="000A3EA1">
        <w:t>le taux et le montant de la TVA</w:t>
      </w:r>
    </w:p>
    <w:p w:rsidR="00332FDA" w:rsidRPr="000A3EA1" w:rsidRDefault="00332FDA" w:rsidP="00546D5C">
      <w:pPr>
        <w:pStyle w:val="Paragraphedeliste"/>
        <w:numPr>
          <w:ilvl w:val="0"/>
          <w:numId w:val="1"/>
        </w:numPr>
        <w:jc w:val="both"/>
      </w:pPr>
      <w:r w:rsidRPr="000A3EA1">
        <w:t>le montant total des fournitures livrées</w:t>
      </w:r>
    </w:p>
    <w:p w:rsidR="00332FDA" w:rsidRPr="000A3EA1" w:rsidRDefault="00332FDA" w:rsidP="00546D5C">
      <w:pPr>
        <w:pStyle w:val="Paragraphedeliste"/>
        <w:numPr>
          <w:ilvl w:val="0"/>
          <w:numId w:val="1"/>
        </w:numPr>
        <w:jc w:val="both"/>
      </w:pPr>
      <w:r w:rsidRPr="000A3EA1">
        <w:t>la date.</w:t>
      </w:r>
    </w:p>
    <w:p w:rsidR="00332FDA" w:rsidRPr="000A3EA1" w:rsidRDefault="00332FDA">
      <w:pPr>
        <w:jc w:val="both"/>
      </w:pPr>
    </w:p>
    <w:p w:rsidR="00332FDA" w:rsidRPr="000A3EA1" w:rsidRDefault="00332FDA">
      <w:pPr>
        <w:jc w:val="both"/>
      </w:pPr>
      <w:r w:rsidRPr="000A3EA1">
        <w:t>Le paiement s'effectuera suivant les règles de la comptabilité publique (à savoir</w:t>
      </w:r>
      <w:r w:rsidR="00093967">
        <w:t xml:space="preserve"> notamment après service fait).</w:t>
      </w:r>
    </w:p>
    <w:p w:rsidR="00332FDA" w:rsidRPr="000A3EA1" w:rsidRDefault="00332FDA"/>
    <w:p w:rsidR="00332FDA" w:rsidRPr="000A3EA1" w:rsidRDefault="00332FDA">
      <w:r w:rsidRPr="000A3EA1">
        <w:t xml:space="preserve">Le comptable public assignataire chargé du paiement est l’agent comptable du lycée </w:t>
      </w:r>
      <w:r w:rsidR="00060BA9">
        <w:t>Antoine Bourdelle</w:t>
      </w:r>
      <w:r w:rsidRPr="000A3EA1">
        <w:t xml:space="preserve"> </w:t>
      </w:r>
    </w:p>
    <w:p w:rsidR="00332FDA" w:rsidRPr="000A3EA1" w:rsidRDefault="000D1D27" w:rsidP="000D1D27">
      <w:pPr>
        <w:jc w:val="both"/>
      </w:pPr>
      <w:r>
        <w:t xml:space="preserve">Le délai de paiement prévu au </w:t>
      </w:r>
      <w:r w:rsidRPr="00687EBE">
        <w:t>premier alinéa de l'article 37 de la loi du 28 janvier 2013 susvisée</w:t>
      </w:r>
      <w:r>
        <w:t xml:space="preserve"> est fixé à  trente jours</w:t>
      </w:r>
    </w:p>
    <w:p w:rsidR="00332FDA" w:rsidRPr="000A3EA1" w:rsidRDefault="00332FDA">
      <w:pPr>
        <w:jc w:val="both"/>
      </w:pPr>
      <w:r w:rsidRPr="000A3EA1">
        <w:t>Le défaut de paiemen</w:t>
      </w:r>
      <w:r w:rsidR="00586A5D" w:rsidRPr="000A3EA1">
        <w:t xml:space="preserve">t dans un délai de </w:t>
      </w:r>
      <w:r w:rsidR="000B443D" w:rsidRPr="000A3EA1">
        <w:t xml:space="preserve">trente </w:t>
      </w:r>
      <w:r w:rsidRPr="000A3EA1">
        <w:t>(</w:t>
      </w:r>
      <w:r w:rsidR="000B443D" w:rsidRPr="000A3EA1">
        <w:t>3</w:t>
      </w:r>
      <w:r w:rsidR="00586A5D" w:rsidRPr="000A3EA1">
        <w:t>0</w:t>
      </w:r>
      <w:r w:rsidRPr="000A3EA1">
        <w:t>) jours à compter de la date de réception de la facture (transmise après service fait) fait courir de plein droit et sans autre formalité, au bénéfice du titulaire, des intérêts moratoires qui sont calculés conformément aux dispositions de l'article 96 Code des Marchés Publics</w:t>
      </w:r>
      <w:r w:rsidR="00372869">
        <w:t>.</w:t>
      </w:r>
      <w:r w:rsidRPr="000A3EA1">
        <w:t xml:space="preserve"> </w:t>
      </w:r>
    </w:p>
    <w:p w:rsidR="00332FDA" w:rsidRPr="000A3EA1" w:rsidRDefault="00332FDA">
      <w:pPr>
        <w:jc w:val="both"/>
      </w:pPr>
      <w:r w:rsidRPr="000A3EA1">
        <w:lastRenderedPageBreak/>
        <w:t>L'intérêt de retard sera calculé sur le montant des somm</w:t>
      </w:r>
      <w:r w:rsidR="00874407" w:rsidRPr="000A3EA1">
        <w:t>es dues à un taux supérieur de 7</w:t>
      </w:r>
      <w:r w:rsidRPr="000A3EA1">
        <w:t xml:space="preserve"> points au taux d'intérêt des obligations cautionnées. </w:t>
      </w:r>
    </w:p>
    <w:p w:rsidR="000D1D27" w:rsidRPr="005A5396" w:rsidRDefault="000D1D27" w:rsidP="000D1D27">
      <w:pPr>
        <w:rPr>
          <w:i/>
        </w:rPr>
      </w:pPr>
      <w:r w:rsidRPr="005A5396">
        <w:rPr>
          <w:rStyle w:val="lev"/>
          <w:i/>
        </w:rPr>
        <w:t>Décret n° 2013-269 du 29 mars 2013 relatif à la lutte contre les retards de paiement dans les contrats de la commande publique</w:t>
      </w:r>
    </w:p>
    <w:p w:rsidR="00332FDA" w:rsidRPr="000A3EA1" w:rsidRDefault="00332FDA">
      <w:pPr>
        <w:jc w:val="both"/>
      </w:pPr>
    </w:p>
    <w:p w:rsidR="00332FDA" w:rsidRPr="00143573" w:rsidRDefault="00165198" w:rsidP="00143573">
      <w:pPr>
        <w:pStyle w:val="Titre3"/>
        <w:rPr>
          <w:u w:val="single"/>
        </w:rPr>
      </w:pPr>
      <w:bookmarkStart w:id="11" w:name="_Toc440976898"/>
      <w:r>
        <w:rPr>
          <w:u w:val="single"/>
        </w:rPr>
        <w:t>Article 12</w:t>
      </w:r>
      <w:r w:rsidR="00CB1852">
        <w:rPr>
          <w:u w:val="single"/>
        </w:rPr>
        <w:t> </w:t>
      </w:r>
      <w:r w:rsidR="00CB1852" w:rsidRPr="003442D1">
        <w:t xml:space="preserve">: </w:t>
      </w:r>
      <w:r w:rsidR="00143573" w:rsidRPr="003442D1">
        <w:t>Droit de visite</w:t>
      </w:r>
      <w:bookmarkEnd w:id="11"/>
    </w:p>
    <w:p w:rsidR="00332FDA" w:rsidRPr="000A3EA1" w:rsidRDefault="00332FDA">
      <w:pPr>
        <w:jc w:val="both"/>
      </w:pPr>
    </w:p>
    <w:p w:rsidR="00332FDA" w:rsidRPr="000A3EA1" w:rsidRDefault="00332FDA">
      <w:pPr>
        <w:jc w:val="both"/>
      </w:pPr>
      <w:r w:rsidRPr="000A3EA1">
        <w:t xml:space="preserve">La personne responsable du marché du lycée se réserve le droit de procéder à toute visite de l'entreprise (centre de fabrication, dépôt, service de distribution, </w:t>
      </w:r>
      <w:r w:rsidR="00BC65A7" w:rsidRPr="000A3EA1">
        <w:t>etc.</w:t>
      </w:r>
      <w:r w:rsidRPr="000A3EA1">
        <w:t xml:space="preserve">) qui pourrait s'avérer nécessaire. </w:t>
      </w:r>
    </w:p>
    <w:p w:rsidR="00332FDA" w:rsidRPr="000A3EA1" w:rsidRDefault="00332FDA">
      <w:pPr>
        <w:jc w:val="both"/>
      </w:pPr>
    </w:p>
    <w:p w:rsidR="00332FDA" w:rsidRPr="00480B66" w:rsidRDefault="00165198" w:rsidP="00143573">
      <w:pPr>
        <w:pStyle w:val="Titre3"/>
        <w:rPr>
          <w:u w:val="single"/>
        </w:rPr>
      </w:pPr>
      <w:bookmarkStart w:id="12" w:name="_Toc440976900"/>
      <w:r>
        <w:rPr>
          <w:u w:val="single"/>
        </w:rPr>
        <w:t>Article 13</w:t>
      </w:r>
      <w:r w:rsidR="00CB1852">
        <w:rPr>
          <w:u w:val="single"/>
        </w:rPr>
        <w:t> </w:t>
      </w:r>
      <w:r w:rsidR="00CB1852" w:rsidRPr="003442D1">
        <w:t xml:space="preserve">: </w:t>
      </w:r>
      <w:r w:rsidR="00143573" w:rsidRPr="003442D1">
        <w:t>Dispositions particulières</w:t>
      </w:r>
      <w:bookmarkEnd w:id="12"/>
    </w:p>
    <w:p w:rsidR="00332FDA" w:rsidRPr="000A3EA1" w:rsidRDefault="00332FDA">
      <w:pPr>
        <w:spacing w:line="240" w:lineRule="atLeast"/>
        <w:jc w:val="both"/>
        <w:rPr>
          <w:b/>
          <w:u w:val="single"/>
        </w:rPr>
      </w:pPr>
    </w:p>
    <w:p w:rsidR="00332FDA" w:rsidRPr="000A3EA1" w:rsidRDefault="00332FDA">
      <w:r w:rsidRPr="000A3EA1">
        <w:t>Dispositions applicables en cas de titulaire étranger.</w:t>
      </w:r>
    </w:p>
    <w:p w:rsidR="00332FDA" w:rsidRPr="000A3EA1" w:rsidRDefault="00332FDA"/>
    <w:p w:rsidR="00332FDA" w:rsidRPr="000A3EA1" w:rsidRDefault="00332FDA">
      <w:r w:rsidRPr="000A3EA1">
        <w:t>En cas de litige, la loi française est seule applicable. Les tribunaux français sont seuls compétents. Les correspondances relatives au marché sont rédigées en français.</w:t>
      </w:r>
    </w:p>
    <w:p w:rsidR="00F12A04" w:rsidRPr="000A3EA1" w:rsidRDefault="00F12A04"/>
    <w:p w:rsidR="00F12A04" w:rsidRDefault="00F12A04" w:rsidP="00F12A04">
      <w:pPr>
        <w:jc w:val="both"/>
      </w:pPr>
    </w:p>
    <w:p w:rsidR="009C17FE" w:rsidRDefault="009C17FE" w:rsidP="00343242"/>
    <w:sectPr w:rsidR="009C17FE" w:rsidSect="00D911D4">
      <w:footerReference w:type="default" r:id="rId11"/>
      <w:headerReference w:type="first" r:id="rId12"/>
      <w:pgSz w:w="11907" w:h="16840"/>
      <w:pgMar w:top="567" w:right="851" w:bottom="567" w:left="1134" w:header="340"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7CE" w:rsidRDefault="00C317CE" w:rsidP="00244D32">
      <w:r>
        <w:separator/>
      </w:r>
    </w:p>
  </w:endnote>
  <w:endnote w:type="continuationSeparator" w:id="0">
    <w:p w:rsidR="00C317CE" w:rsidRDefault="00C317CE" w:rsidP="00244D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343"/>
      <w:docPartObj>
        <w:docPartGallery w:val="Page Numbers (Bottom of Page)"/>
        <w:docPartUnique/>
      </w:docPartObj>
    </w:sdtPr>
    <w:sdtContent>
      <w:p w:rsidR="00D419BE" w:rsidRDefault="009032A4">
        <w:pPr>
          <w:pStyle w:val="Pieddepage"/>
        </w:pPr>
        <w:r>
          <w:rPr>
            <w:noProof/>
          </w:rPr>
          <w:fldChar w:fldCharType="begin"/>
        </w:r>
        <w:r w:rsidR="005E4C29">
          <w:rPr>
            <w:noProof/>
          </w:rPr>
          <w:instrText xml:space="preserve"> PAGE   \* MERGEFORMAT </w:instrText>
        </w:r>
        <w:r>
          <w:rPr>
            <w:noProof/>
          </w:rPr>
          <w:fldChar w:fldCharType="separate"/>
        </w:r>
        <w:r w:rsidR="003C7F3F">
          <w:rPr>
            <w:noProof/>
          </w:rPr>
          <w:t>1</w:t>
        </w:r>
        <w:r>
          <w:rPr>
            <w:noProof/>
          </w:rPr>
          <w:fldChar w:fldCharType="end"/>
        </w:r>
      </w:p>
    </w:sdtContent>
  </w:sdt>
  <w:p w:rsidR="00D419BE" w:rsidRDefault="00D419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30"/>
      <w:gridCol w:w="1096"/>
      <w:gridCol w:w="4930"/>
    </w:tblGrid>
    <w:tr w:rsidR="00D419BE">
      <w:trPr>
        <w:trHeight w:val="151"/>
      </w:trPr>
      <w:tc>
        <w:tcPr>
          <w:tcW w:w="2250" w:type="pct"/>
          <w:tcBorders>
            <w:bottom w:val="single" w:sz="4" w:space="0" w:color="4F81BD" w:themeColor="accent1"/>
          </w:tcBorders>
        </w:tcPr>
        <w:p w:rsidR="00D419BE" w:rsidRDefault="00D419BE">
          <w:pPr>
            <w:pStyle w:val="En-tte"/>
            <w:rPr>
              <w:rFonts w:asciiTheme="majorHAnsi" w:eastAsiaTheme="majorEastAsia" w:hAnsiTheme="majorHAnsi" w:cstheme="majorBidi"/>
              <w:b/>
              <w:bCs/>
            </w:rPr>
          </w:pPr>
        </w:p>
      </w:tc>
      <w:tc>
        <w:tcPr>
          <w:tcW w:w="500" w:type="pct"/>
          <w:vMerge w:val="restart"/>
          <w:noWrap/>
          <w:vAlign w:val="center"/>
        </w:tcPr>
        <w:p w:rsidR="00D419BE" w:rsidRDefault="00D419BE">
          <w:pPr>
            <w:pStyle w:val="Sansinterligne"/>
            <w:rPr>
              <w:rFonts w:asciiTheme="majorHAnsi" w:hAnsiTheme="majorHAnsi"/>
            </w:rPr>
          </w:pPr>
          <w:r>
            <w:rPr>
              <w:rFonts w:asciiTheme="majorHAnsi" w:hAnsiTheme="majorHAnsi"/>
              <w:b/>
            </w:rPr>
            <w:t xml:space="preserve">Page </w:t>
          </w:r>
          <w:r w:rsidR="009032A4">
            <w:rPr>
              <w:rFonts w:asciiTheme="majorHAnsi" w:hAnsiTheme="majorHAnsi"/>
              <w:b/>
              <w:noProof/>
            </w:rPr>
            <w:fldChar w:fldCharType="begin"/>
          </w:r>
          <w:r w:rsidR="005E4C29">
            <w:rPr>
              <w:rFonts w:asciiTheme="majorHAnsi" w:hAnsiTheme="majorHAnsi"/>
              <w:b/>
              <w:noProof/>
            </w:rPr>
            <w:instrText xml:space="preserve"> PAGE  \* MERGEFORMAT </w:instrText>
          </w:r>
          <w:r w:rsidR="009032A4">
            <w:rPr>
              <w:rFonts w:asciiTheme="majorHAnsi" w:hAnsiTheme="majorHAnsi"/>
              <w:b/>
              <w:noProof/>
            </w:rPr>
            <w:fldChar w:fldCharType="separate"/>
          </w:r>
          <w:r w:rsidRPr="00D75D3F">
            <w:rPr>
              <w:rFonts w:asciiTheme="majorHAnsi" w:hAnsiTheme="majorHAnsi"/>
              <w:b/>
              <w:noProof/>
            </w:rPr>
            <w:t>1</w:t>
          </w:r>
          <w:r w:rsidR="009032A4">
            <w:rPr>
              <w:rFonts w:asciiTheme="majorHAnsi" w:hAnsiTheme="majorHAnsi"/>
              <w:b/>
              <w:noProof/>
            </w:rPr>
            <w:fldChar w:fldCharType="end"/>
          </w:r>
        </w:p>
      </w:tc>
      <w:tc>
        <w:tcPr>
          <w:tcW w:w="2250" w:type="pct"/>
          <w:tcBorders>
            <w:bottom w:val="single" w:sz="4" w:space="0" w:color="4F81BD" w:themeColor="accent1"/>
          </w:tcBorders>
        </w:tcPr>
        <w:p w:rsidR="00D419BE" w:rsidRDefault="00D419BE">
          <w:pPr>
            <w:pStyle w:val="En-tte"/>
            <w:rPr>
              <w:rFonts w:asciiTheme="majorHAnsi" w:eastAsiaTheme="majorEastAsia" w:hAnsiTheme="majorHAnsi" w:cstheme="majorBidi"/>
              <w:b/>
              <w:bCs/>
            </w:rPr>
          </w:pPr>
        </w:p>
      </w:tc>
    </w:tr>
    <w:tr w:rsidR="00D419BE">
      <w:trPr>
        <w:trHeight w:val="150"/>
      </w:trPr>
      <w:tc>
        <w:tcPr>
          <w:tcW w:w="2250" w:type="pct"/>
          <w:tcBorders>
            <w:top w:val="single" w:sz="4" w:space="0" w:color="4F81BD" w:themeColor="accent1"/>
          </w:tcBorders>
        </w:tcPr>
        <w:p w:rsidR="00D419BE" w:rsidRDefault="00D419BE">
          <w:pPr>
            <w:pStyle w:val="En-tte"/>
            <w:rPr>
              <w:rFonts w:asciiTheme="majorHAnsi" w:eastAsiaTheme="majorEastAsia" w:hAnsiTheme="majorHAnsi" w:cstheme="majorBidi"/>
              <w:b/>
              <w:bCs/>
            </w:rPr>
          </w:pPr>
        </w:p>
      </w:tc>
      <w:tc>
        <w:tcPr>
          <w:tcW w:w="500" w:type="pct"/>
          <w:vMerge/>
        </w:tcPr>
        <w:p w:rsidR="00D419BE" w:rsidRDefault="00D419BE">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D419BE" w:rsidRDefault="00D419BE">
          <w:pPr>
            <w:pStyle w:val="En-tte"/>
            <w:rPr>
              <w:rFonts w:asciiTheme="majorHAnsi" w:eastAsiaTheme="majorEastAsia" w:hAnsiTheme="majorHAnsi" w:cstheme="majorBidi"/>
              <w:b/>
              <w:bCs/>
            </w:rPr>
          </w:pPr>
        </w:p>
      </w:tc>
    </w:tr>
  </w:tbl>
  <w:p w:rsidR="00D419BE" w:rsidRDefault="00D419B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348"/>
      <w:docPartObj>
        <w:docPartGallery w:val="Page Numbers (Bottom of Page)"/>
        <w:docPartUnique/>
      </w:docPartObj>
    </w:sdtPr>
    <w:sdtContent>
      <w:p w:rsidR="00D419BE" w:rsidRDefault="009032A4">
        <w:pPr>
          <w:pStyle w:val="Pieddepage"/>
        </w:pPr>
        <w:r>
          <w:rPr>
            <w:noProof/>
          </w:rPr>
          <w:fldChar w:fldCharType="begin"/>
        </w:r>
        <w:r w:rsidR="005E4C29">
          <w:rPr>
            <w:noProof/>
          </w:rPr>
          <w:instrText xml:space="preserve"> PAGE   \* MERGEFORMAT </w:instrText>
        </w:r>
        <w:r>
          <w:rPr>
            <w:noProof/>
          </w:rPr>
          <w:fldChar w:fldCharType="separate"/>
        </w:r>
        <w:r w:rsidR="003C7F3F">
          <w:rPr>
            <w:noProof/>
          </w:rPr>
          <w:t>6</w:t>
        </w:r>
        <w:r>
          <w:rPr>
            <w:noProof/>
          </w:rPr>
          <w:fldChar w:fldCharType="end"/>
        </w:r>
      </w:p>
    </w:sdtContent>
  </w:sdt>
  <w:p w:rsidR="00D419BE" w:rsidRDefault="00D419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7CE" w:rsidRDefault="00C317CE" w:rsidP="00244D32">
      <w:r>
        <w:separator/>
      </w:r>
    </w:p>
  </w:footnote>
  <w:footnote w:type="continuationSeparator" w:id="0">
    <w:p w:rsidR="00C317CE" w:rsidRDefault="00C317CE" w:rsidP="0024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jc w:val="center"/>
      <w:tblLayout w:type="fixed"/>
      <w:tblCellMar>
        <w:left w:w="70" w:type="dxa"/>
        <w:right w:w="70" w:type="dxa"/>
      </w:tblCellMar>
      <w:tblLook w:val="0000"/>
    </w:tblPr>
    <w:tblGrid>
      <w:gridCol w:w="3290"/>
      <w:gridCol w:w="8107"/>
    </w:tblGrid>
    <w:tr w:rsidR="00D419BE" w:rsidRPr="00E8219C" w:rsidTr="00D5739F">
      <w:trPr>
        <w:trHeight w:val="1985"/>
        <w:jc w:val="center"/>
      </w:trPr>
      <w:tc>
        <w:tcPr>
          <w:tcW w:w="3290" w:type="dxa"/>
        </w:tcPr>
        <w:p w:rsidR="00D419BE" w:rsidRDefault="00D419BE" w:rsidP="00D5739F"/>
        <w:p w:rsidR="00D419BE" w:rsidRPr="001E565D" w:rsidRDefault="00D419BE" w:rsidP="00D5739F">
          <w:pPr>
            <w:rPr>
              <w:b/>
              <w:color w:val="000080"/>
              <w:sz w:val="18"/>
              <w:szCs w:val="18"/>
            </w:rPr>
          </w:pPr>
          <w:r w:rsidRPr="002F7431">
            <w:rPr>
              <w:b/>
              <w:noProof/>
              <w:color w:val="000080"/>
              <w:sz w:val="18"/>
              <w:szCs w:val="18"/>
            </w:rPr>
            <w:drawing>
              <wp:inline distT="0" distB="0" distL="0" distR="0">
                <wp:extent cx="1578603" cy="1006351"/>
                <wp:effectExtent l="19050" t="0" r="2547" b="0"/>
                <wp:docPr id="2" name="Image 1" descr="C:\Users\compta6\AppData\Local\Temp\Temp2_0820021c-3.zip\log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ta6\AppData\Local\Temp\Temp2_0820021c-3.zip\logobleu.png"/>
                        <pic:cNvPicPr>
                          <a:picLocks noChangeAspect="1" noChangeArrowheads="1"/>
                        </pic:cNvPicPr>
                      </pic:nvPicPr>
                      <pic:blipFill>
                        <a:blip r:embed="rId1"/>
                        <a:srcRect/>
                        <a:stretch>
                          <a:fillRect/>
                        </a:stretch>
                      </pic:blipFill>
                      <pic:spPr bwMode="auto">
                        <a:xfrm>
                          <a:off x="0" y="0"/>
                          <a:ext cx="1582789" cy="1009020"/>
                        </a:xfrm>
                        <a:prstGeom prst="rect">
                          <a:avLst/>
                        </a:prstGeom>
                        <a:noFill/>
                        <a:ln w="9525">
                          <a:noFill/>
                          <a:miter lim="800000"/>
                          <a:headEnd/>
                          <a:tailEnd/>
                        </a:ln>
                      </pic:spPr>
                    </pic:pic>
                  </a:graphicData>
                </a:graphic>
              </wp:inline>
            </w:drawing>
          </w:r>
        </w:p>
      </w:tc>
      <w:tc>
        <w:tcPr>
          <w:tcW w:w="8107" w:type="dxa"/>
        </w:tcPr>
        <w:p w:rsidR="00D419BE" w:rsidRDefault="00D419BE" w:rsidP="00D5739F">
          <w:pPr>
            <w:ind w:right="-767"/>
            <w:rPr>
              <w:rFonts w:ascii="Arial" w:hAnsi="Arial" w:cs="Arial"/>
              <w:sz w:val="28"/>
              <w:szCs w:val="28"/>
            </w:rPr>
          </w:pPr>
        </w:p>
        <w:p w:rsidR="00D419BE" w:rsidRDefault="00D419BE" w:rsidP="00D5739F">
          <w:pPr>
            <w:ind w:right="-767"/>
            <w:rPr>
              <w:rFonts w:ascii="Arial" w:hAnsi="Arial" w:cs="Arial"/>
              <w:sz w:val="28"/>
              <w:szCs w:val="28"/>
            </w:rPr>
          </w:pPr>
        </w:p>
        <w:p w:rsidR="00D419BE" w:rsidRDefault="00D419BE" w:rsidP="00D5739F">
          <w:pPr>
            <w:ind w:right="-767"/>
            <w:rPr>
              <w:rFonts w:ascii="Arial" w:hAnsi="Arial" w:cs="Arial"/>
              <w:sz w:val="10"/>
              <w:szCs w:val="10"/>
            </w:rPr>
          </w:pPr>
          <w:r>
            <w:rPr>
              <w:rFonts w:ascii="Arial" w:hAnsi="Arial" w:cs="Arial"/>
              <w:sz w:val="28"/>
              <w:szCs w:val="28"/>
            </w:rPr>
            <w:t>Lycée ANTOINE BOURDELLE</w:t>
          </w:r>
        </w:p>
        <w:p w:rsidR="00D419BE" w:rsidRDefault="00D419BE" w:rsidP="00D5739F">
          <w:pPr>
            <w:ind w:right="-767"/>
            <w:rPr>
              <w:rFonts w:ascii="Arial" w:hAnsi="Arial" w:cs="Arial"/>
              <w:sz w:val="10"/>
              <w:szCs w:val="10"/>
            </w:rPr>
          </w:pPr>
        </w:p>
        <w:p w:rsidR="00D419BE" w:rsidRDefault="00D419BE" w:rsidP="00D5739F">
          <w:pPr>
            <w:rPr>
              <w:rFonts w:ascii="Arial" w:hAnsi="Arial" w:cs="Arial"/>
            </w:rPr>
          </w:pPr>
          <w:r>
            <w:rPr>
              <w:rFonts w:ascii="Arial" w:hAnsi="Arial" w:cs="Arial"/>
            </w:rPr>
            <w:t>3 boulevard Edouard Herriot 82000 MONTAUBAN</w:t>
          </w:r>
        </w:p>
        <w:p w:rsidR="00D419BE" w:rsidRDefault="00D419BE" w:rsidP="00D5739F">
          <w:pPr>
            <w:rPr>
              <w:rFonts w:ascii="Arial" w:hAnsi="Arial" w:cs="Arial"/>
              <w:sz w:val="8"/>
              <w:szCs w:val="8"/>
            </w:rPr>
          </w:pPr>
        </w:p>
        <w:p w:rsidR="00D419BE" w:rsidRDefault="00D419BE" w:rsidP="00D5739F">
          <w:pPr>
            <w:rPr>
              <w:rFonts w:ascii="Arial" w:hAnsi="Arial" w:cs="Arial"/>
            </w:rPr>
          </w:pPr>
          <w:r>
            <w:rPr>
              <w:rFonts w:ascii="Arial" w:hAnsi="Arial" w:cs="Arial"/>
            </w:rPr>
            <w:t>Tél. 05 63 92 63 00</w:t>
          </w:r>
        </w:p>
        <w:p w:rsidR="00D419BE" w:rsidRPr="00C35B7E" w:rsidRDefault="00D419BE" w:rsidP="00D5739F">
          <w:pPr>
            <w:ind w:right="71"/>
            <w:rPr>
              <w:b/>
              <w:color w:val="0F243E"/>
              <w:lang w:val="de-DE"/>
            </w:rPr>
          </w:pPr>
          <w:r>
            <w:rPr>
              <w:rFonts w:ascii="Arial" w:hAnsi="Arial" w:cs="Arial"/>
              <w:lang w:val="de-DE"/>
            </w:rPr>
            <w:t xml:space="preserve">Mail   </w:t>
          </w:r>
          <w:hyperlink r:id="rId2" w:history="1">
            <w:r w:rsidRPr="00BC2284">
              <w:rPr>
                <w:rStyle w:val="Lienhypertexte"/>
                <w:rFonts w:ascii="Myriad Pro" w:hAnsi="Myriad Pro"/>
                <w:sz w:val="18"/>
                <w:szCs w:val="18"/>
              </w:rPr>
              <w:t>intendance.bourdelle@ac-toulouse.fr</w:t>
            </w:r>
          </w:hyperlink>
        </w:p>
      </w:tc>
    </w:tr>
  </w:tbl>
  <w:p w:rsidR="00D419BE" w:rsidRDefault="00D419B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75" w:type="dxa"/>
      <w:jc w:val="center"/>
      <w:tblLayout w:type="fixed"/>
      <w:tblCellMar>
        <w:left w:w="70" w:type="dxa"/>
        <w:right w:w="70" w:type="dxa"/>
      </w:tblCellMar>
      <w:tblLook w:val="04A0"/>
    </w:tblPr>
    <w:tblGrid>
      <w:gridCol w:w="3506"/>
      <w:gridCol w:w="7969"/>
    </w:tblGrid>
    <w:tr w:rsidR="00D419BE" w:rsidTr="008653EA">
      <w:trPr>
        <w:trHeight w:val="1758"/>
        <w:jc w:val="center"/>
      </w:trPr>
      <w:tc>
        <w:tcPr>
          <w:tcW w:w="3506" w:type="dxa"/>
        </w:tcPr>
        <w:p w:rsidR="00D419BE" w:rsidRDefault="00D419BE">
          <w:pPr>
            <w:rPr>
              <w:sz w:val="24"/>
              <w:szCs w:val="24"/>
            </w:rPr>
          </w:pPr>
        </w:p>
        <w:p w:rsidR="00D419BE" w:rsidRDefault="00D419BE">
          <w:pPr>
            <w:rPr>
              <w:b/>
              <w:color w:val="000080"/>
              <w:sz w:val="18"/>
              <w:szCs w:val="18"/>
            </w:rPr>
          </w:pPr>
          <w:r>
            <w:rPr>
              <w:b/>
              <w:noProof/>
              <w:color w:val="000080"/>
              <w:sz w:val="18"/>
              <w:szCs w:val="18"/>
            </w:rPr>
            <w:drawing>
              <wp:inline distT="0" distB="0" distL="0" distR="0">
                <wp:extent cx="2048510" cy="1706863"/>
                <wp:effectExtent l="19050" t="0" r="8890" b="0"/>
                <wp:docPr id="1" name="Image 1" descr="C:\Users\compta6\AppData\Local\Temp\Temp2_0820021c-3.zip\logo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ta6\AppData\Local\Temp\Temp2_0820021c-3.zip\logobleu.png"/>
                        <pic:cNvPicPr>
                          <a:picLocks noChangeAspect="1" noChangeArrowheads="1"/>
                        </pic:cNvPicPr>
                      </pic:nvPicPr>
                      <pic:blipFill>
                        <a:blip r:embed="rId1"/>
                        <a:srcRect/>
                        <a:stretch>
                          <a:fillRect/>
                        </a:stretch>
                      </pic:blipFill>
                      <pic:spPr bwMode="auto">
                        <a:xfrm>
                          <a:off x="0" y="0"/>
                          <a:ext cx="2048510" cy="1706863"/>
                        </a:xfrm>
                        <a:prstGeom prst="rect">
                          <a:avLst/>
                        </a:prstGeom>
                        <a:noFill/>
                        <a:ln w="9525">
                          <a:noFill/>
                          <a:miter lim="800000"/>
                          <a:headEnd/>
                          <a:tailEnd/>
                        </a:ln>
                      </pic:spPr>
                    </pic:pic>
                  </a:graphicData>
                </a:graphic>
              </wp:inline>
            </w:drawing>
          </w:r>
        </w:p>
      </w:tc>
      <w:tc>
        <w:tcPr>
          <w:tcW w:w="7969" w:type="dxa"/>
        </w:tcPr>
        <w:p w:rsidR="00D419BE" w:rsidRDefault="00D419BE" w:rsidP="008653EA">
          <w:pPr>
            <w:ind w:left="189" w:right="-767"/>
            <w:jc w:val="center"/>
            <w:rPr>
              <w:rFonts w:ascii="Arial" w:hAnsi="Arial" w:cs="Arial"/>
              <w:sz w:val="28"/>
              <w:szCs w:val="28"/>
            </w:rPr>
          </w:pPr>
        </w:p>
        <w:p w:rsidR="00D419BE" w:rsidRDefault="00D419BE" w:rsidP="008653EA">
          <w:pPr>
            <w:ind w:left="189" w:right="-767"/>
            <w:jc w:val="center"/>
            <w:rPr>
              <w:rFonts w:ascii="Arial" w:hAnsi="Arial" w:cs="Arial"/>
              <w:sz w:val="28"/>
              <w:szCs w:val="28"/>
            </w:rPr>
          </w:pPr>
        </w:p>
        <w:p w:rsidR="00D419BE" w:rsidRDefault="00D419BE" w:rsidP="008653EA">
          <w:pPr>
            <w:ind w:right="-767"/>
            <w:jc w:val="center"/>
            <w:rPr>
              <w:rFonts w:ascii="Arial" w:hAnsi="Arial" w:cs="Arial"/>
              <w:sz w:val="28"/>
              <w:szCs w:val="28"/>
            </w:rPr>
          </w:pPr>
        </w:p>
        <w:p w:rsidR="00D419BE" w:rsidRDefault="00D419BE" w:rsidP="008653EA">
          <w:pPr>
            <w:ind w:right="-767"/>
            <w:jc w:val="center"/>
            <w:rPr>
              <w:rFonts w:ascii="Arial" w:hAnsi="Arial" w:cs="Arial"/>
              <w:sz w:val="28"/>
              <w:szCs w:val="28"/>
            </w:rPr>
          </w:pPr>
        </w:p>
        <w:p w:rsidR="00D419BE" w:rsidRDefault="00D419BE" w:rsidP="008653EA">
          <w:pPr>
            <w:ind w:right="-767"/>
            <w:rPr>
              <w:rFonts w:ascii="Arial" w:hAnsi="Arial" w:cs="Arial"/>
              <w:sz w:val="10"/>
              <w:szCs w:val="10"/>
            </w:rPr>
          </w:pPr>
          <w:r>
            <w:rPr>
              <w:rFonts w:ascii="Arial" w:hAnsi="Arial" w:cs="Arial"/>
              <w:sz w:val="28"/>
              <w:szCs w:val="28"/>
            </w:rPr>
            <w:t>Lycée ANTOINE BOURDELLE</w:t>
          </w:r>
        </w:p>
        <w:p w:rsidR="00D419BE" w:rsidRDefault="00D419BE" w:rsidP="008653EA">
          <w:pPr>
            <w:ind w:right="-767"/>
            <w:rPr>
              <w:rFonts w:ascii="Arial" w:hAnsi="Arial" w:cs="Arial"/>
              <w:sz w:val="10"/>
              <w:szCs w:val="10"/>
            </w:rPr>
          </w:pPr>
        </w:p>
        <w:p w:rsidR="00D419BE" w:rsidRDefault="00D419BE" w:rsidP="008653EA">
          <w:pPr>
            <w:rPr>
              <w:rFonts w:ascii="Arial" w:hAnsi="Arial" w:cs="Arial"/>
            </w:rPr>
          </w:pPr>
          <w:r>
            <w:rPr>
              <w:rFonts w:ascii="Arial" w:hAnsi="Arial" w:cs="Arial"/>
            </w:rPr>
            <w:t>3 boulevard Edouard Herriot 82000 MONTAUBAN</w:t>
          </w:r>
        </w:p>
        <w:p w:rsidR="00D419BE" w:rsidRDefault="00D419BE" w:rsidP="008653EA">
          <w:pPr>
            <w:rPr>
              <w:rFonts w:ascii="Arial" w:hAnsi="Arial" w:cs="Arial"/>
              <w:sz w:val="8"/>
              <w:szCs w:val="8"/>
            </w:rPr>
          </w:pPr>
        </w:p>
        <w:p w:rsidR="00D419BE" w:rsidRDefault="00D419BE" w:rsidP="008653EA">
          <w:pPr>
            <w:rPr>
              <w:rFonts w:ascii="Arial" w:hAnsi="Arial" w:cs="Arial"/>
            </w:rPr>
          </w:pPr>
          <w:r>
            <w:rPr>
              <w:rFonts w:ascii="Arial" w:hAnsi="Arial" w:cs="Arial"/>
            </w:rPr>
            <w:t>Tél. 05 63 92 63 00</w:t>
          </w:r>
        </w:p>
        <w:p w:rsidR="00D419BE" w:rsidRPr="00D24B1B" w:rsidRDefault="00D419BE" w:rsidP="008653EA">
          <w:pPr>
            <w:rPr>
              <w:b/>
              <w:color w:val="0F243E"/>
              <w:sz w:val="24"/>
              <w:szCs w:val="24"/>
            </w:rPr>
          </w:pPr>
          <w:r>
            <w:rPr>
              <w:rFonts w:ascii="Arial" w:hAnsi="Arial" w:cs="Arial"/>
              <w:lang w:val="de-DE"/>
            </w:rPr>
            <w:t xml:space="preserve">Mail   </w:t>
          </w:r>
          <w:hyperlink r:id="rId2" w:history="1">
            <w:r w:rsidRPr="00BC2284">
              <w:rPr>
                <w:rStyle w:val="Lienhypertexte"/>
                <w:rFonts w:ascii="Myriad Pro" w:hAnsi="Myriad Pro"/>
                <w:sz w:val="18"/>
                <w:szCs w:val="18"/>
              </w:rPr>
              <w:t>intendance.bourdelle@ac-toulouse.fr</w:t>
            </w:r>
          </w:hyperlink>
        </w:p>
      </w:tc>
    </w:tr>
  </w:tbl>
  <w:p w:rsidR="00D419BE" w:rsidRDefault="00D419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B253DBE"/>
    <w:multiLevelType w:val="hybridMultilevel"/>
    <w:tmpl w:val="B240EA2C"/>
    <w:lvl w:ilvl="0" w:tplc="040C0001">
      <w:start w:val="1"/>
      <w:numFmt w:val="bullet"/>
      <w:lvlText w:val=""/>
      <w:lvlJc w:val="left"/>
      <w:pPr>
        <w:ind w:left="1156" w:hanging="360"/>
      </w:pPr>
      <w:rPr>
        <w:rFonts w:ascii="Symbol" w:hAnsi="Symbol"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2">
    <w:nsid w:val="1F2F0983"/>
    <w:multiLevelType w:val="hybridMultilevel"/>
    <w:tmpl w:val="A1907ADE"/>
    <w:lvl w:ilvl="0" w:tplc="040C0001">
      <w:start w:val="1"/>
      <w:numFmt w:val="bullet"/>
      <w:lvlText w:val=""/>
      <w:lvlJc w:val="left"/>
      <w:pPr>
        <w:ind w:left="976" w:hanging="360"/>
      </w:pPr>
      <w:rPr>
        <w:rFonts w:ascii="Symbol" w:hAnsi="Symbol"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3">
    <w:nsid w:val="273F8F6F"/>
    <w:multiLevelType w:val="hybridMultilevel"/>
    <w:tmpl w:val="19418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323090"/>
    <w:multiLevelType w:val="hybridMultilevel"/>
    <w:tmpl w:val="918E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3812AF"/>
    <w:multiLevelType w:val="hybridMultilevel"/>
    <w:tmpl w:val="73EE094C"/>
    <w:lvl w:ilvl="0" w:tplc="8F6EE85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313508FB"/>
    <w:multiLevelType w:val="hybridMultilevel"/>
    <w:tmpl w:val="8B84D394"/>
    <w:lvl w:ilvl="0" w:tplc="8054A16E">
      <w:numFmt w:val="bullet"/>
      <w:lvlText w:val="-"/>
      <w:lvlJc w:val="left"/>
      <w:pPr>
        <w:ind w:left="796" w:hanging="360"/>
      </w:pPr>
      <w:rPr>
        <w:rFonts w:ascii="Times New Roman" w:eastAsia="Times New Roman" w:hAnsi="Times New Roman"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7">
    <w:nsid w:val="35E963B3"/>
    <w:multiLevelType w:val="hybridMultilevel"/>
    <w:tmpl w:val="353A4ACA"/>
    <w:lvl w:ilvl="0" w:tplc="0FD601F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39B23001"/>
    <w:multiLevelType w:val="hybridMultilevel"/>
    <w:tmpl w:val="8C6459F2"/>
    <w:lvl w:ilvl="0" w:tplc="8054A16E">
      <w:numFmt w:val="bullet"/>
      <w:lvlText w:val="-"/>
      <w:lvlJc w:val="left"/>
      <w:pPr>
        <w:ind w:left="1232" w:hanging="360"/>
      </w:pPr>
      <w:rPr>
        <w:rFonts w:ascii="Times New Roman" w:eastAsia="Times New Roman" w:hAnsi="Times New Roman" w:cs="Times New Roman"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9">
    <w:nsid w:val="590F5182"/>
    <w:multiLevelType w:val="hybridMultilevel"/>
    <w:tmpl w:val="8C8C41A4"/>
    <w:lvl w:ilvl="0" w:tplc="01C2D14A">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97C7BBC"/>
    <w:multiLevelType w:val="hybridMultilevel"/>
    <w:tmpl w:val="34CE3AD4"/>
    <w:lvl w:ilvl="0" w:tplc="040C0001">
      <w:start w:val="1"/>
      <w:numFmt w:val="bullet"/>
      <w:lvlText w:val=""/>
      <w:lvlJc w:val="left"/>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1">
    <w:nsid w:val="6E335C87"/>
    <w:multiLevelType w:val="hybridMultilevel"/>
    <w:tmpl w:val="BDF845E2"/>
    <w:lvl w:ilvl="0" w:tplc="F95E1428">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10"/>
  </w:num>
  <w:num w:numId="8">
    <w:abstractNumId w:val="1"/>
  </w:num>
  <w:num w:numId="9">
    <w:abstractNumId w:val="6"/>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B01F5B"/>
    <w:rsid w:val="000212EB"/>
    <w:rsid w:val="00050EE2"/>
    <w:rsid w:val="00052D3C"/>
    <w:rsid w:val="000548B3"/>
    <w:rsid w:val="00057DE7"/>
    <w:rsid w:val="00060BA9"/>
    <w:rsid w:val="00073449"/>
    <w:rsid w:val="00086D49"/>
    <w:rsid w:val="00093967"/>
    <w:rsid w:val="000A3EA1"/>
    <w:rsid w:val="000B443D"/>
    <w:rsid w:val="000C796C"/>
    <w:rsid w:val="000D1D27"/>
    <w:rsid w:val="000D3E49"/>
    <w:rsid w:val="001010E3"/>
    <w:rsid w:val="00120AC9"/>
    <w:rsid w:val="00143573"/>
    <w:rsid w:val="00146D6A"/>
    <w:rsid w:val="00157457"/>
    <w:rsid w:val="00161119"/>
    <w:rsid w:val="00165198"/>
    <w:rsid w:val="001674E2"/>
    <w:rsid w:val="00185C0C"/>
    <w:rsid w:val="0018693D"/>
    <w:rsid w:val="001B1315"/>
    <w:rsid w:val="001C100C"/>
    <w:rsid w:val="001C1C87"/>
    <w:rsid w:val="001D6EE7"/>
    <w:rsid w:val="001D7BCF"/>
    <w:rsid w:val="001E03AC"/>
    <w:rsid w:val="001E2387"/>
    <w:rsid w:val="001E678A"/>
    <w:rsid w:val="00200836"/>
    <w:rsid w:val="00206F99"/>
    <w:rsid w:val="00211FCF"/>
    <w:rsid w:val="00224E87"/>
    <w:rsid w:val="00230826"/>
    <w:rsid w:val="00244D32"/>
    <w:rsid w:val="00255EC2"/>
    <w:rsid w:val="00265DBE"/>
    <w:rsid w:val="002E6FFA"/>
    <w:rsid w:val="00317EBC"/>
    <w:rsid w:val="00331745"/>
    <w:rsid w:val="00332FDA"/>
    <w:rsid w:val="00336C67"/>
    <w:rsid w:val="00343242"/>
    <w:rsid w:val="003442D1"/>
    <w:rsid w:val="003464B1"/>
    <w:rsid w:val="00372869"/>
    <w:rsid w:val="003B02B2"/>
    <w:rsid w:val="003B3E28"/>
    <w:rsid w:val="003C7F3F"/>
    <w:rsid w:val="003E5031"/>
    <w:rsid w:val="003E51B6"/>
    <w:rsid w:val="003F6A5C"/>
    <w:rsid w:val="00400EBD"/>
    <w:rsid w:val="00403365"/>
    <w:rsid w:val="00420A77"/>
    <w:rsid w:val="00443C66"/>
    <w:rsid w:val="00454A78"/>
    <w:rsid w:val="00456AFE"/>
    <w:rsid w:val="00462ED9"/>
    <w:rsid w:val="00464927"/>
    <w:rsid w:val="00465369"/>
    <w:rsid w:val="00477704"/>
    <w:rsid w:val="00480B66"/>
    <w:rsid w:val="004A5E46"/>
    <w:rsid w:val="004C1794"/>
    <w:rsid w:val="004C2DD9"/>
    <w:rsid w:val="004D001D"/>
    <w:rsid w:val="00501175"/>
    <w:rsid w:val="00526D44"/>
    <w:rsid w:val="005469BD"/>
    <w:rsid w:val="00546D5C"/>
    <w:rsid w:val="00583A89"/>
    <w:rsid w:val="00586A5D"/>
    <w:rsid w:val="00590FFC"/>
    <w:rsid w:val="0059351C"/>
    <w:rsid w:val="005A7FCA"/>
    <w:rsid w:val="005C568B"/>
    <w:rsid w:val="005E4C29"/>
    <w:rsid w:val="005E649F"/>
    <w:rsid w:val="005F1BB6"/>
    <w:rsid w:val="00603F7D"/>
    <w:rsid w:val="006071B3"/>
    <w:rsid w:val="00610A13"/>
    <w:rsid w:val="00637156"/>
    <w:rsid w:val="0069476D"/>
    <w:rsid w:val="006A1A13"/>
    <w:rsid w:val="006B3C47"/>
    <w:rsid w:val="006B421E"/>
    <w:rsid w:val="006C0D0D"/>
    <w:rsid w:val="006D0C4D"/>
    <w:rsid w:val="006F40AF"/>
    <w:rsid w:val="00704759"/>
    <w:rsid w:val="007171CF"/>
    <w:rsid w:val="00720435"/>
    <w:rsid w:val="00723AE5"/>
    <w:rsid w:val="00734494"/>
    <w:rsid w:val="00742C2D"/>
    <w:rsid w:val="00754D96"/>
    <w:rsid w:val="00771C5F"/>
    <w:rsid w:val="00780C22"/>
    <w:rsid w:val="007957FF"/>
    <w:rsid w:val="0079601D"/>
    <w:rsid w:val="007A5438"/>
    <w:rsid w:val="007C7032"/>
    <w:rsid w:val="007D2B46"/>
    <w:rsid w:val="007E4CC5"/>
    <w:rsid w:val="007F2578"/>
    <w:rsid w:val="0083794F"/>
    <w:rsid w:val="008653EA"/>
    <w:rsid w:val="00870729"/>
    <w:rsid w:val="0087174C"/>
    <w:rsid w:val="008729B7"/>
    <w:rsid w:val="00874407"/>
    <w:rsid w:val="00876D94"/>
    <w:rsid w:val="008809D4"/>
    <w:rsid w:val="00884D6E"/>
    <w:rsid w:val="008C24C9"/>
    <w:rsid w:val="008D315E"/>
    <w:rsid w:val="008D7457"/>
    <w:rsid w:val="008F1F0D"/>
    <w:rsid w:val="008F7F64"/>
    <w:rsid w:val="009032A4"/>
    <w:rsid w:val="009171E7"/>
    <w:rsid w:val="009274C9"/>
    <w:rsid w:val="00930996"/>
    <w:rsid w:val="0093757E"/>
    <w:rsid w:val="0095692D"/>
    <w:rsid w:val="00965C39"/>
    <w:rsid w:val="0097544B"/>
    <w:rsid w:val="00990BD7"/>
    <w:rsid w:val="009A2DE0"/>
    <w:rsid w:val="009B1E19"/>
    <w:rsid w:val="009B2846"/>
    <w:rsid w:val="009B6846"/>
    <w:rsid w:val="009C17FE"/>
    <w:rsid w:val="009E2CC7"/>
    <w:rsid w:val="009E57D7"/>
    <w:rsid w:val="00A13F83"/>
    <w:rsid w:val="00A17EC6"/>
    <w:rsid w:val="00A2716B"/>
    <w:rsid w:val="00A30DE4"/>
    <w:rsid w:val="00A31422"/>
    <w:rsid w:val="00A364B8"/>
    <w:rsid w:val="00A84920"/>
    <w:rsid w:val="00A87507"/>
    <w:rsid w:val="00AB65EA"/>
    <w:rsid w:val="00AD405B"/>
    <w:rsid w:val="00AE6E74"/>
    <w:rsid w:val="00AF504F"/>
    <w:rsid w:val="00AF618C"/>
    <w:rsid w:val="00B01F5B"/>
    <w:rsid w:val="00B02716"/>
    <w:rsid w:val="00B30D6B"/>
    <w:rsid w:val="00B42B68"/>
    <w:rsid w:val="00B47C37"/>
    <w:rsid w:val="00B56031"/>
    <w:rsid w:val="00B647B8"/>
    <w:rsid w:val="00B70303"/>
    <w:rsid w:val="00BB2A43"/>
    <w:rsid w:val="00BB6076"/>
    <w:rsid w:val="00BB7644"/>
    <w:rsid w:val="00BC3E81"/>
    <w:rsid w:val="00BC65A7"/>
    <w:rsid w:val="00BD11B7"/>
    <w:rsid w:val="00BD79A5"/>
    <w:rsid w:val="00BE5462"/>
    <w:rsid w:val="00BE555C"/>
    <w:rsid w:val="00C00E79"/>
    <w:rsid w:val="00C0532A"/>
    <w:rsid w:val="00C11CFE"/>
    <w:rsid w:val="00C15405"/>
    <w:rsid w:val="00C27954"/>
    <w:rsid w:val="00C317CE"/>
    <w:rsid w:val="00C51BB1"/>
    <w:rsid w:val="00C52F36"/>
    <w:rsid w:val="00C576DC"/>
    <w:rsid w:val="00C67F1C"/>
    <w:rsid w:val="00C75AB4"/>
    <w:rsid w:val="00C775F3"/>
    <w:rsid w:val="00CA79DB"/>
    <w:rsid w:val="00CB1852"/>
    <w:rsid w:val="00CB1D37"/>
    <w:rsid w:val="00CD5A37"/>
    <w:rsid w:val="00CE1C92"/>
    <w:rsid w:val="00CE3184"/>
    <w:rsid w:val="00CF2AF9"/>
    <w:rsid w:val="00D051BA"/>
    <w:rsid w:val="00D17E2A"/>
    <w:rsid w:val="00D24B1B"/>
    <w:rsid w:val="00D3528D"/>
    <w:rsid w:val="00D419BE"/>
    <w:rsid w:val="00D45C8B"/>
    <w:rsid w:val="00D54797"/>
    <w:rsid w:val="00D55539"/>
    <w:rsid w:val="00D5739F"/>
    <w:rsid w:val="00D75D3F"/>
    <w:rsid w:val="00D911D4"/>
    <w:rsid w:val="00D93C24"/>
    <w:rsid w:val="00DC5F04"/>
    <w:rsid w:val="00DD221C"/>
    <w:rsid w:val="00DE5F79"/>
    <w:rsid w:val="00E002D5"/>
    <w:rsid w:val="00E061D0"/>
    <w:rsid w:val="00E13538"/>
    <w:rsid w:val="00E22F48"/>
    <w:rsid w:val="00E25C6E"/>
    <w:rsid w:val="00E439FF"/>
    <w:rsid w:val="00E52C4E"/>
    <w:rsid w:val="00E61221"/>
    <w:rsid w:val="00E677DF"/>
    <w:rsid w:val="00E71E58"/>
    <w:rsid w:val="00EA55E3"/>
    <w:rsid w:val="00EA7E30"/>
    <w:rsid w:val="00ED22ED"/>
    <w:rsid w:val="00EE1A64"/>
    <w:rsid w:val="00EE62A9"/>
    <w:rsid w:val="00EE649E"/>
    <w:rsid w:val="00F00242"/>
    <w:rsid w:val="00F12A04"/>
    <w:rsid w:val="00F2432F"/>
    <w:rsid w:val="00F30879"/>
    <w:rsid w:val="00F55D21"/>
    <w:rsid w:val="00F61F25"/>
    <w:rsid w:val="00F731A0"/>
    <w:rsid w:val="00F803A9"/>
    <w:rsid w:val="00F86737"/>
    <w:rsid w:val="00FD3C97"/>
    <w:rsid w:val="00FD6A62"/>
    <w:rsid w:val="00FE1B1B"/>
    <w:rsid w:val="00FF392C"/>
    <w:rsid w:val="00FF51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62"/>
    <w:pPr>
      <w:overflowPunct w:val="0"/>
      <w:autoSpaceDE w:val="0"/>
      <w:autoSpaceDN w:val="0"/>
      <w:adjustRightInd w:val="0"/>
      <w:textAlignment w:val="baseline"/>
    </w:pPr>
  </w:style>
  <w:style w:type="paragraph" w:styleId="Titre1">
    <w:name w:val="heading 1"/>
    <w:basedOn w:val="Normal"/>
    <w:next w:val="Normal"/>
    <w:qFormat/>
    <w:rsid w:val="00BE5462"/>
    <w:pPr>
      <w:keepNext/>
      <w:jc w:val="both"/>
      <w:outlineLvl w:val="0"/>
    </w:pPr>
    <w:rPr>
      <w:rFonts w:ascii="Arial" w:hAnsi="Arial"/>
      <w:b/>
      <w:sz w:val="18"/>
    </w:rPr>
  </w:style>
  <w:style w:type="paragraph" w:styleId="Titre3">
    <w:name w:val="heading 3"/>
    <w:basedOn w:val="Normal"/>
    <w:next w:val="Normal"/>
    <w:link w:val="Titre3Car"/>
    <w:unhideWhenUsed/>
    <w:qFormat/>
    <w:rsid w:val="00F12A04"/>
    <w:pPr>
      <w:keepNext/>
      <w:keepLines/>
      <w:spacing w:before="200"/>
      <w:outlineLvl w:val="2"/>
    </w:pPr>
    <w:rPr>
      <w:rFonts w:asciiTheme="majorHAnsi" w:eastAsiaTheme="majorEastAsia" w:hAnsiTheme="majorHAnsi" w:cstheme="majorBidi"/>
      <w:b/>
      <w:bCs/>
      <w:color w:val="000000" w:themeColor="text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basedOn w:val="Policepardfaut"/>
    <w:rsid w:val="00BE5462"/>
    <w:rPr>
      <w:color w:val="0000FF"/>
      <w:u w:val="single"/>
    </w:rPr>
  </w:style>
  <w:style w:type="paragraph" w:customStyle="1" w:styleId="RedNomDoc">
    <w:name w:val="RedNomDoc"/>
    <w:basedOn w:val="Normal"/>
    <w:rsid w:val="00CE1C92"/>
    <w:pPr>
      <w:overflowPunct/>
      <w:autoSpaceDE/>
      <w:autoSpaceDN/>
      <w:adjustRightInd/>
      <w:jc w:val="center"/>
      <w:textAlignment w:val="auto"/>
    </w:pPr>
    <w:rPr>
      <w:rFonts w:ascii="Arial" w:hAnsi="Arial"/>
      <w:b/>
      <w:sz w:val="30"/>
    </w:rPr>
  </w:style>
  <w:style w:type="paragraph" w:styleId="En-tte">
    <w:name w:val="header"/>
    <w:basedOn w:val="Normal"/>
    <w:link w:val="En-tteCar"/>
    <w:uiPriority w:val="99"/>
    <w:rsid w:val="00244D32"/>
    <w:pPr>
      <w:tabs>
        <w:tab w:val="center" w:pos="4536"/>
        <w:tab w:val="right" w:pos="9072"/>
      </w:tabs>
    </w:pPr>
  </w:style>
  <w:style w:type="character" w:customStyle="1" w:styleId="En-tteCar">
    <w:name w:val="En-tête Car"/>
    <w:basedOn w:val="Policepardfaut"/>
    <w:link w:val="En-tte"/>
    <w:uiPriority w:val="99"/>
    <w:rsid w:val="00244D32"/>
  </w:style>
  <w:style w:type="paragraph" w:styleId="Pieddepage">
    <w:name w:val="footer"/>
    <w:basedOn w:val="Normal"/>
    <w:link w:val="PieddepageCar"/>
    <w:uiPriority w:val="99"/>
    <w:rsid w:val="00244D32"/>
    <w:pPr>
      <w:tabs>
        <w:tab w:val="center" w:pos="4536"/>
        <w:tab w:val="right" w:pos="9072"/>
      </w:tabs>
    </w:pPr>
  </w:style>
  <w:style w:type="character" w:customStyle="1" w:styleId="PieddepageCar">
    <w:name w:val="Pied de page Car"/>
    <w:basedOn w:val="Policepardfaut"/>
    <w:link w:val="Pieddepage"/>
    <w:uiPriority w:val="99"/>
    <w:rsid w:val="00244D32"/>
  </w:style>
  <w:style w:type="character" w:styleId="Lienhypertexte">
    <w:name w:val="Hyperlink"/>
    <w:basedOn w:val="Policepardfaut"/>
    <w:uiPriority w:val="99"/>
    <w:unhideWhenUsed/>
    <w:rsid w:val="00244D32"/>
    <w:rPr>
      <w:color w:val="0000FF"/>
      <w:u w:val="single"/>
    </w:rPr>
  </w:style>
  <w:style w:type="paragraph" w:styleId="Textedebulles">
    <w:name w:val="Balloon Text"/>
    <w:basedOn w:val="Normal"/>
    <w:link w:val="TextedebullesCar"/>
    <w:rsid w:val="00244D32"/>
    <w:rPr>
      <w:rFonts w:ascii="Tahoma" w:hAnsi="Tahoma" w:cs="Tahoma"/>
      <w:sz w:val="16"/>
      <w:szCs w:val="16"/>
    </w:rPr>
  </w:style>
  <w:style w:type="character" w:customStyle="1" w:styleId="TextedebullesCar">
    <w:name w:val="Texte de bulles Car"/>
    <w:basedOn w:val="Policepardfaut"/>
    <w:link w:val="Textedebulles"/>
    <w:rsid w:val="00244D32"/>
    <w:rPr>
      <w:rFonts w:ascii="Tahoma" w:hAnsi="Tahoma" w:cs="Tahoma"/>
      <w:sz w:val="16"/>
      <w:szCs w:val="16"/>
    </w:rPr>
  </w:style>
  <w:style w:type="paragraph" w:styleId="Paragraphedeliste">
    <w:name w:val="List Paragraph"/>
    <w:basedOn w:val="Normal"/>
    <w:uiPriority w:val="99"/>
    <w:qFormat/>
    <w:rsid w:val="008D7457"/>
    <w:pPr>
      <w:ind w:left="720"/>
      <w:contextualSpacing/>
    </w:pPr>
  </w:style>
  <w:style w:type="table" w:styleId="Grilledutableau">
    <w:name w:val="Table Grid"/>
    <w:basedOn w:val="TableauNormal"/>
    <w:rsid w:val="007F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F12A04"/>
    <w:rPr>
      <w:rFonts w:asciiTheme="majorHAnsi" w:eastAsiaTheme="majorEastAsia" w:hAnsiTheme="majorHAnsi" w:cstheme="majorBidi"/>
      <w:b/>
      <w:bCs/>
      <w:color w:val="000000" w:themeColor="text1"/>
      <w:sz w:val="24"/>
    </w:rPr>
  </w:style>
  <w:style w:type="paragraph" w:styleId="En-ttedetabledesmatires">
    <w:name w:val="TOC Heading"/>
    <w:basedOn w:val="Titre1"/>
    <w:next w:val="Normal"/>
    <w:uiPriority w:val="39"/>
    <w:semiHidden/>
    <w:unhideWhenUsed/>
    <w:qFormat/>
    <w:rsid w:val="00143573"/>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en-US"/>
    </w:rPr>
  </w:style>
  <w:style w:type="paragraph" w:styleId="TM3">
    <w:name w:val="toc 3"/>
    <w:basedOn w:val="Normal"/>
    <w:next w:val="Normal"/>
    <w:autoRedefine/>
    <w:uiPriority w:val="39"/>
    <w:rsid w:val="00143573"/>
    <w:pPr>
      <w:spacing w:after="100"/>
      <w:ind w:left="400"/>
    </w:pPr>
  </w:style>
  <w:style w:type="paragraph" w:styleId="TM1">
    <w:name w:val="toc 1"/>
    <w:basedOn w:val="Normal"/>
    <w:next w:val="Normal"/>
    <w:autoRedefine/>
    <w:uiPriority w:val="39"/>
    <w:rsid w:val="00143573"/>
    <w:pPr>
      <w:spacing w:after="100"/>
    </w:pPr>
  </w:style>
  <w:style w:type="paragraph" w:customStyle="1" w:styleId="Default">
    <w:name w:val="Default"/>
    <w:rsid w:val="009B2846"/>
    <w:pPr>
      <w:autoSpaceDE w:val="0"/>
      <w:autoSpaceDN w:val="0"/>
      <w:adjustRightInd w:val="0"/>
    </w:pPr>
    <w:rPr>
      <w:color w:val="000000"/>
      <w:sz w:val="24"/>
      <w:szCs w:val="24"/>
    </w:rPr>
  </w:style>
  <w:style w:type="paragraph" w:customStyle="1" w:styleId="Listepuce">
    <w:name w:val="Liste à puce"/>
    <w:basedOn w:val="Normal"/>
    <w:rsid w:val="009A2DE0"/>
    <w:pPr>
      <w:widowControl w:val="0"/>
      <w:overflowPunct/>
      <w:adjustRightInd/>
      <w:spacing w:before="60"/>
      <w:ind w:left="568" w:hanging="284"/>
      <w:jc w:val="both"/>
      <w:textAlignment w:val="auto"/>
    </w:pPr>
  </w:style>
  <w:style w:type="character" w:styleId="lev">
    <w:name w:val="Strong"/>
    <w:basedOn w:val="Policepardfaut"/>
    <w:uiPriority w:val="22"/>
    <w:qFormat/>
    <w:rsid w:val="000D1D27"/>
    <w:rPr>
      <w:b/>
      <w:bCs/>
    </w:rPr>
  </w:style>
  <w:style w:type="paragraph" w:customStyle="1" w:styleId="RedTitre1">
    <w:name w:val="RedTitre1"/>
    <w:basedOn w:val="Normal"/>
    <w:rsid w:val="00B56031"/>
    <w:pPr>
      <w:framePr w:hSpace="142" w:wrap="auto" w:vAnchor="text" w:hAnchor="text" w:xAlign="center" w:y="1"/>
      <w:widowControl w:val="0"/>
      <w:overflowPunct/>
      <w:autoSpaceDE/>
      <w:autoSpaceDN/>
      <w:adjustRightInd/>
      <w:jc w:val="center"/>
      <w:textAlignment w:val="auto"/>
    </w:pPr>
    <w:rPr>
      <w:rFonts w:ascii="Arial" w:hAnsi="Arial"/>
      <w:b/>
      <w:snapToGrid w:val="0"/>
      <w:sz w:val="22"/>
    </w:rPr>
  </w:style>
  <w:style w:type="paragraph" w:customStyle="1" w:styleId="centre">
    <w:name w:val="centre"/>
    <w:basedOn w:val="Normal"/>
    <w:rsid w:val="00C75AB4"/>
    <w:pPr>
      <w:overflowPunct/>
      <w:autoSpaceDE/>
      <w:autoSpaceDN/>
      <w:adjustRightInd/>
      <w:spacing w:before="100" w:beforeAutospacing="1" w:after="100" w:afterAutospacing="1"/>
      <w:textAlignment w:val="auto"/>
    </w:pPr>
    <w:rPr>
      <w:sz w:val="24"/>
      <w:szCs w:val="24"/>
    </w:rPr>
  </w:style>
  <w:style w:type="paragraph" w:styleId="Sansinterligne">
    <w:name w:val="No Spacing"/>
    <w:link w:val="SansinterligneCar"/>
    <w:uiPriority w:val="1"/>
    <w:qFormat/>
    <w:rsid w:val="00D75D3F"/>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D75D3F"/>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7740919">
      <w:bodyDiv w:val="1"/>
      <w:marLeft w:val="0"/>
      <w:marRight w:val="0"/>
      <w:marTop w:val="0"/>
      <w:marBottom w:val="0"/>
      <w:divBdr>
        <w:top w:val="none" w:sz="0" w:space="0" w:color="auto"/>
        <w:left w:val="none" w:sz="0" w:space="0" w:color="auto"/>
        <w:bottom w:val="none" w:sz="0" w:space="0" w:color="auto"/>
        <w:right w:val="none" w:sz="0" w:space="0" w:color="auto"/>
      </w:divBdr>
    </w:div>
    <w:div w:id="1162238783">
      <w:bodyDiv w:val="1"/>
      <w:marLeft w:val="0"/>
      <w:marRight w:val="0"/>
      <w:marTop w:val="0"/>
      <w:marBottom w:val="0"/>
      <w:divBdr>
        <w:top w:val="none" w:sz="0" w:space="0" w:color="auto"/>
        <w:left w:val="none" w:sz="0" w:space="0" w:color="auto"/>
        <w:bottom w:val="none" w:sz="0" w:space="0" w:color="auto"/>
        <w:right w:val="none" w:sz="0" w:space="0" w:color="auto"/>
      </w:divBdr>
    </w:div>
    <w:div w:id="1524241379">
      <w:bodyDiv w:val="1"/>
      <w:marLeft w:val="0"/>
      <w:marRight w:val="0"/>
      <w:marTop w:val="0"/>
      <w:marBottom w:val="0"/>
      <w:divBdr>
        <w:top w:val="none" w:sz="0" w:space="0" w:color="auto"/>
        <w:left w:val="none" w:sz="0" w:space="0" w:color="auto"/>
        <w:bottom w:val="none" w:sz="0" w:space="0" w:color="auto"/>
        <w:right w:val="none" w:sz="0" w:space="0" w:color="auto"/>
      </w:divBdr>
    </w:div>
    <w:div w:id="1740470589">
      <w:bodyDiv w:val="1"/>
      <w:marLeft w:val="0"/>
      <w:marRight w:val="0"/>
      <w:marTop w:val="0"/>
      <w:marBottom w:val="0"/>
      <w:divBdr>
        <w:top w:val="none" w:sz="0" w:space="0" w:color="auto"/>
        <w:left w:val="none" w:sz="0" w:space="0" w:color="auto"/>
        <w:bottom w:val="none" w:sz="0" w:space="0" w:color="auto"/>
        <w:right w:val="none" w:sz="0" w:space="0" w:color="auto"/>
      </w:divBdr>
    </w:div>
    <w:div w:id="1849979840">
      <w:bodyDiv w:val="1"/>
      <w:marLeft w:val="0"/>
      <w:marRight w:val="0"/>
      <w:marTop w:val="0"/>
      <w:marBottom w:val="0"/>
      <w:divBdr>
        <w:top w:val="none" w:sz="0" w:space="0" w:color="auto"/>
        <w:left w:val="none" w:sz="0" w:space="0" w:color="auto"/>
        <w:bottom w:val="none" w:sz="0" w:space="0" w:color="auto"/>
        <w:right w:val="none" w:sz="0" w:space="0" w:color="auto"/>
      </w:divBdr>
    </w:div>
    <w:div w:id="201885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tendance.bourdelle@ac-toulouse.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tendance.bourdelle@ac-toulous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6F5D2-B1B4-491F-A939-5FEF59EC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1485</Words>
  <Characters>8171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COMMISSION DE COORDINATION DES COMMANDES PUBLIQUES</vt:lpstr>
    </vt:vector>
  </TitlesOfParts>
  <Company>.</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 COORDINATION DES COMMANDES PUBLIQUES</dc:title>
  <dc:subject/>
  <dc:creator>HP Customer</dc:creator>
  <cp:keywords/>
  <dc:description/>
  <cp:lastModifiedBy>compta6</cp:lastModifiedBy>
  <cp:revision>6</cp:revision>
  <cp:lastPrinted>2018-01-25T15:13:00Z</cp:lastPrinted>
  <dcterms:created xsi:type="dcterms:W3CDTF">2018-12-05T07:25:00Z</dcterms:created>
  <dcterms:modified xsi:type="dcterms:W3CDTF">2018-12-10T09:33:00Z</dcterms:modified>
</cp:coreProperties>
</file>