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7" w:rsidRPr="00462F0A" w:rsidRDefault="002711D7" w:rsidP="002711D7">
      <w:pPr>
        <w:pStyle w:val="Titre3"/>
      </w:pPr>
      <w:r w:rsidRPr="00462F0A">
        <w:t xml:space="preserve">LISTE DES APPAREILS </w:t>
      </w:r>
    </w:p>
    <w:p w:rsidR="002711D7" w:rsidRDefault="002711D7" w:rsidP="002711D7"/>
    <w:p w:rsidR="002711D7" w:rsidRDefault="002711D7" w:rsidP="002711D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2551"/>
        <w:gridCol w:w="2127"/>
      </w:tblGrid>
      <w:tr w:rsidR="002711D7" w:rsidTr="002711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D7" w:rsidRDefault="002711D7" w:rsidP="008546E1">
            <w:pPr>
              <w:jc w:val="center"/>
              <w:rPr>
                <w:rFonts w:ascii="Calibri" w:hAnsi="Calibri"/>
                <w:b/>
              </w:rPr>
            </w:pPr>
          </w:p>
          <w:p w:rsidR="002711D7" w:rsidRDefault="002711D7" w:rsidP="008546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Complément d’adresse</w:t>
            </w:r>
          </w:p>
          <w:p w:rsidR="002711D7" w:rsidRDefault="002711D7" w:rsidP="008546E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D7" w:rsidRDefault="002711D7" w:rsidP="008546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Numéro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D7" w:rsidRDefault="002711D7" w:rsidP="008546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Prise d’effet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D7" w:rsidRDefault="002711D7" w:rsidP="008546E1">
            <w:pPr>
              <w:ind w:left="-6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Prix annuel € HT</w:t>
            </w:r>
          </w:p>
        </w:tc>
      </w:tr>
      <w:tr w:rsidR="002711D7" w:rsidTr="002711D7">
        <w:trPr>
          <w:trHeight w:val="4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D7" w:rsidRDefault="002711D7" w:rsidP="008546E1">
            <w:pPr>
              <w:jc w:val="center"/>
            </w:pPr>
            <w:bookmarkStart w:id="0" w:name="_Hlk525049040"/>
            <w:r>
              <w:t>Portail Automatique entrée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D7" w:rsidRDefault="002711D7" w:rsidP="008546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D7" w:rsidRDefault="002711D7" w:rsidP="008546E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D7" w:rsidRDefault="002711D7" w:rsidP="008546E1">
            <w:pPr>
              <w:jc w:val="right"/>
            </w:pPr>
            <w:r>
              <w:t xml:space="preserve">00.00 € </w:t>
            </w:r>
          </w:p>
        </w:tc>
      </w:tr>
      <w:tr w:rsidR="002711D7" w:rsidTr="002711D7">
        <w:trPr>
          <w:trHeight w:val="4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D7" w:rsidRDefault="002711D7" w:rsidP="008546E1">
            <w:pPr>
              <w:jc w:val="center"/>
            </w:pPr>
            <w:r>
              <w:t xml:space="preserve">Portail Automatique Entrée Professeurs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D7" w:rsidRDefault="002711D7" w:rsidP="008546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D7" w:rsidRDefault="002711D7" w:rsidP="008546E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D7" w:rsidRDefault="002711D7" w:rsidP="008546E1">
            <w:pPr>
              <w:jc w:val="right"/>
            </w:pPr>
            <w:r>
              <w:t xml:space="preserve">00.00 € </w:t>
            </w:r>
          </w:p>
        </w:tc>
      </w:tr>
      <w:tr w:rsidR="002711D7" w:rsidTr="002711D7">
        <w:trPr>
          <w:trHeight w:val="4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D7" w:rsidRDefault="002711D7" w:rsidP="008546E1">
            <w:pPr>
              <w:jc w:val="center"/>
            </w:pPr>
            <w:r>
              <w:t>Portail Automatique Entrée Cuisines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D7" w:rsidRDefault="002711D7" w:rsidP="008546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D7" w:rsidRDefault="002711D7" w:rsidP="008546E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D7" w:rsidRDefault="002711D7" w:rsidP="008546E1">
            <w:pPr>
              <w:jc w:val="right"/>
            </w:pPr>
            <w:r>
              <w:t xml:space="preserve">00.00 € </w:t>
            </w:r>
          </w:p>
        </w:tc>
      </w:tr>
      <w:bookmarkEnd w:id="0"/>
    </w:tbl>
    <w:p w:rsidR="002711D7" w:rsidRDefault="002711D7" w:rsidP="002711D7"/>
    <w:p w:rsidR="002711D7" w:rsidRDefault="002711D7" w:rsidP="002711D7">
      <w:pPr>
        <w:pStyle w:val="Titre3"/>
      </w:pPr>
      <w:r>
        <w:t>P</w:t>
      </w:r>
      <w:r w:rsidRPr="00E22549">
        <w:t>RISE D’EFFET ET DUREE DU CONTRAT</w:t>
      </w:r>
    </w:p>
    <w:p w:rsidR="002711D7" w:rsidRPr="006609E8" w:rsidRDefault="002711D7" w:rsidP="002711D7"/>
    <w:p w:rsidR="002711D7" w:rsidRDefault="002711D7" w:rsidP="002711D7">
      <w:pPr>
        <w:tabs>
          <w:tab w:val="left" w:pos="3402"/>
        </w:tabs>
      </w:pPr>
      <w:r>
        <w:t>Durée du contrat :</w:t>
      </w:r>
      <w:r>
        <w:tab/>
      </w:r>
      <w:r w:rsidRPr="009C3CE3">
        <w:rPr>
          <w:b/>
        </w:rPr>
        <w:t>3 ans</w:t>
      </w:r>
      <w:r>
        <w:t xml:space="preserve">  </w:t>
      </w:r>
    </w:p>
    <w:p w:rsidR="002711D7" w:rsidRDefault="002711D7" w:rsidP="002711D7">
      <w:pPr>
        <w:tabs>
          <w:tab w:val="left" w:pos="3402"/>
        </w:tabs>
      </w:pPr>
    </w:p>
    <w:p w:rsidR="002711D7" w:rsidRDefault="002711D7" w:rsidP="002711D7">
      <w:pPr>
        <w:tabs>
          <w:tab w:val="left" w:pos="3402"/>
        </w:tabs>
      </w:pPr>
      <w:r>
        <w:t>Date de prise d’effet :</w:t>
      </w:r>
      <w:r>
        <w:tab/>
        <w:t>1</w:t>
      </w:r>
      <w:r w:rsidRPr="00B16D68">
        <w:rPr>
          <w:vertAlign w:val="superscript"/>
        </w:rPr>
        <w:t>er</w:t>
      </w:r>
      <w:r>
        <w:t xml:space="preserve"> janvier 2019</w:t>
      </w:r>
    </w:p>
    <w:p w:rsidR="002711D7" w:rsidRDefault="002711D7" w:rsidP="002711D7">
      <w:pPr>
        <w:tabs>
          <w:tab w:val="left" w:pos="3402"/>
        </w:tabs>
      </w:pPr>
    </w:p>
    <w:p w:rsidR="002711D7" w:rsidRDefault="002711D7" w:rsidP="002711D7">
      <w:pPr>
        <w:tabs>
          <w:tab w:val="left" w:pos="3402"/>
        </w:tabs>
        <w:rPr>
          <w:b/>
        </w:rPr>
      </w:pPr>
    </w:p>
    <w:p w:rsidR="002711D7" w:rsidRDefault="002711D7" w:rsidP="002711D7">
      <w:pPr>
        <w:tabs>
          <w:tab w:val="left" w:pos="3402"/>
        </w:tabs>
        <w:rPr>
          <w:b/>
        </w:rPr>
      </w:pPr>
    </w:p>
    <w:p w:rsidR="002711D7" w:rsidRDefault="002711D7" w:rsidP="002711D7">
      <w:pPr>
        <w:tabs>
          <w:tab w:val="left" w:pos="3402"/>
        </w:tabs>
      </w:pPr>
    </w:p>
    <w:p w:rsidR="002711D7" w:rsidRDefault="002711D7" w:rsidP="002711D7">
      <w:pPr>
        <w:tabs>
          <w:tab w:val="left" w:pos="3402"/>
        </w:tabs>
      </w:pPr>
      <w:r>
        <w:t xml:space="preserve">Renouvellement par tacite reconduction pour des périodes de </w:t>
      </w:r>
      <w:r w:rsidRPr="00944344">
        <w:rPr>
          <w:b/>
        </w:rPr>
        <w:t>1</w:t>
      </w:r>
      <w:r w:rsidRPr="00E22549">
        <w:rPr>
          <w:b/>
        </w:rPr>
        <w:t xml:space="preserve"> an</w:t>
      </w:r>
      <w:r>
        <w:t xml:space="preserve">, sauf préavis donné par l’une ou l’autre des parties par lettre recommandée avec accusé de réception </w:t>
      </w:r>
      <w:r>
        <w:rPr>
          <w:b/>
        </w:rPr>
        <w:t>3</w:t>
      </w:r>
      <w:r w:rsidRPr="00E22549">
        <w:rPr>
          <w:b/>
        </w:rPr>
        <w:t xml:space="preserve"> mois</w:t>
      </w:r>
      <w:r>
        <w:t xml:space="preserve"> avant la date anniversaire du contrat.</w:t>
      </w:r>
    </w:p>
    <w:p w:rsidR="002711D7" w:rsidRDefault="002711D7" w:rsidP="002711D7">
      <w:pPr>
        <w:tabs>
          <w:tab w:val="left" w:pos="3402"/>
        </w:tabs>
      </w:pPr>
    </w:p>
    <w:p w:rsidR="002711D7" w:rsidRDefault="002711D7" w:rsidP="002711D7">
      <w:pPr>
        <w:pStyle w:val="Titre3"/>
      </w:pPr>
      <w:r>
        <w:t>FACTURATION</w:t>
      </w:r>
    </w:p>
    <w:p w:rsidR="002711D7" w:rsidRPr="009C5EC0" w:rsidRDefault="002711D7" w:rsidP="002711D7"/>
    <w:p w:rsidR="002711D7" w:rsidRDefault="002711D7" w:rsidP="002711D7">
      <w:pPr>
        <w:tabs>
          <w:tab w:val="left" w:pos="3402"/>
        </w:tabs>
        <w:rPr>
          <w:b/>
        </w:rPr>
      </w:pPr>
      <w:r>
        <w:t>Période :</w:t>
      </w:r>
      <w:r>
        <w:tab/>
      </w:r>
      <w:r w:rsidRPr="00E22549">
        <w:rPr>
          <w:b/>
        </w:rPr>
        <w:t>Trimestrielle</w:t>
      </w:r>
    </w:p>
    <w:p w:rsidR="002711D7" w:rsidRDefault="002711D7" w:rsidP="002711D7">
      <w:pPr>
        <w:tabs>
          <w:tab w:val="left" w:pos="3402"/>
        </w:tabs>
      </w:pPr>
    </w:p>
    <w:p w:rsidR="002711D7" w:rsidRDefault="002711D7" w:rsidP="002711D7">
      <w:pPr>
        <w:tabs>
          <w:tab w:val="left" w:pos="3402"/>
        </w:tabs>
      </w:pPr>
      <w:r>
        <w:t>Modalités :</w:t>
      </w:r>
      <w:r>
        <w:tab/>
      </w:r>
      <w:r>
        <w:rPr>
          <w:b/>
        </w:rPr>
        <w:t>A échoir</w:t>
      </w:r>
    </w:p>
    <w:p w:rsidR="002711D7" w:rsidRDefault="002711D7" w:rsidP="002711D7">
      <w:pPr>
        <w:pStyle w:val="Titre3"/>
      </w:pPr>
    </w:p>
    <w:p w:rsidR="002711D7" w:rsidRDefault="002711D7" w:rsidP="002711D7">
      <w:pPr>
        <w:pStyle w:val="Titre3"/>
      </w:pPr>
      <w:r>
        <w:t>PAIEMENT</w:t>
      </w:r>
    </w:p>
    <w:p w:rsidR="002711D7" w:rsidRPr="006609E8" w:rsidRDefault="002711D7" w:rsidP="002711D7"/>
    <w:p w:rsidR="002711D7" w:rsidRDefault="002711D7" w:rsidP="002711D7">
      <w:pPr>
        <w:tabs>
          <w:tab w:val="left" w:pos="3402"/>
        </w:tabs>
        <w:rPr>
          <w:b/>
        </w:rPr>
      </w:pPr>
      <w:r>
        <w:t xml:space="preserve">Mandat administratif </w:t>
      </w:r>
    </w:p>
    <w:p w:rsidR="002711D7" w:rsidRDefault="002711D7" w:rsidP="002711D7">
      <w:pPr>
        <w:rPr>
          <w:b/>
        </w:rPr>
      </w:pPr>
    </w:p>
    <w:p w:rsidR="002711D7" w:rsidRDefault="002711D7" w:rsidP="002711D7">
      <w:pPr>
        <w:rPr>
          <w:b/>
        </w:rPr>
      </w:pPr>
    </w:p>
    <w:p w:rsidR="002711D7" w:rsidRPr="000C380F" w:rsidRDefault="002711D7" w:rsidP="002711D7">
      <w:pPr>
        <w:pStyle w:val="Titre4"/>
        <w:rPr>
          <w:b/>
        </w:rPr>
      </w:pPr>
      <w:r w:rsidRPr="000C380F">
        <w:rPr>
          <w:b/>
        </w:rPr>
        <w:t xml:space="preserve">NATURE DES PRESTATIONS </w:t>
      </w:r>
    </w:p>
    <w:p w:rsidR="002711D7" w:rsidRDefault="002711D7" w:rsidP="002711D7">
      <w:pPr>
        <w:jc w:val="both"/>
      </w:pPr>
    </w:p>
    <w:p w:rsidR="002711D7" w:rsidRPr="001519CA" w:rsidRDefault="002711D7" w:rsidP="002711D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2" w:lineRule="exact"/>
        <w:ind w:left="567" w:hanging="567"/>
        <w:rPr>
          <w:color w:val="000000"/>
          <w:lang w:eastAsia="en-US"/>
        </w:rPr>
      </w:pPr>
      <w:r w:rsidRPr="001519CA">
        <w:rPr>
          <w:color w:val="000000"/>
        </w:rPr>
        <w:t xml:space="preserve">Interventions en vue de dépannage </w:t>
      </w:r>
      <w:r>
        <w:rPr>
          <w:color w:val="000000"/>
        </w:rPr>
        <w:t>7</w:t>
      </w:r>
      <w:r w:rsidRPr="001519CA">
        <w:rPr>
          <w:color w:val="000000"/>
        </w:rPr>
        <w:t xml:space="preserve"> jours/7 pendant les horaires de la société (de 8h00 à 18h00) arrivée sur site sous 4 heures.</w:t>
      </w:r>
    </w:p>
    <w:p w:rsidR="002711D7" w:rsidRPr="001519CA" w:rsidRDefault="002711D7" w:rsidP="002711D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2" w:lineRule="exact"/>
        <w:ind w:left="567" w:hanging="567"/>
        <w:rPr>
          <w:color w:val="000000"/>
          <w:lang w:eastAsia="en-US"/>
        </w:rPr>
      </w:pPr>
      <w:r w:rsidRPr="001519CA">
        <w:rPr>
          <w:color w:val="000000"/>
        </w:rPr>
        <w:t>Dans le cas d’un</w:t>
      </w:r>
      <w:r>
        <w:rPr>
          <w:color w:val="000000"/>
        </w:rPr>
        <w:t xml:space="preserve">e mise à l’arrêt de la porte pour réparation, </w:t>
      </w:r>
      <w:r w:rsidRPr="001519CA">
        <w:rPr>
          <w:color w:val="000000"/>
        </w:rPr>
        <w:t xml:space="preserve">le client </w:t>
      </w:r>
      <w:r>
        <w:rPr>
          <w:color w:val="000000"/>
        </w:rPr>
        <w:t>sera</w:t>
      </w:r>
      <w:r w:rsidRPr="001519CA">
        <w:rPr>
          <w:color w:val="000000"/>
        </w:rPr>
        <w:t xml:space="preserve"> averti par courrier ou mail sous 24h.</w:t>
      </w:r>
    </w:p>
    <w:p w:rsidR="002711D7" w:rsidRPr="001519CA" w:rsidRDefault="002711D7" w:rsidP="002711D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2" w:lineRule="exact"/>
        <w:ind w:left="567" w:hanging="567"/>
        <w:rPr>
          <w:color w:val="000000"/>
          <w:lang w:eastAsia="en-US"/>
        </w:rPr>
      </w:pPr>
      <w:r w:rsidRPr="001519CA">
        <w:rPr>
          <w:color w:val="000000"/>
        </w:rPr>
        <w:t>Tenue d’un carnet d’entretien sur site</w:t>
      </w:r>
    </w:p>
    <w:p w:rsidR="002711D7" w:rsidRDefault="002711D7" w:rsidP="002711D7">
      <w:pPr>
        <w:jc w:val="both"/>
      </w:pPr>
    </w:p>
    <w:p w:rsidR="002711D7" w:rsidRPr="0001280F" w:rsidRDefault="002711D7" w:rsidP="002711D7">
      <w:pPr>
        <w:jc w:val="both"/>
      </w:pPr>
      <w:r w:rsidRPr="0001280F">
        <w:rPr>
          <w:b/>
          <w:bCs/>
          <w:u w:val="single"/>
        </w:rPr>
        <w:t>Article 1</w:t>
      </w:r>
      <w:r w:rsidRPr="0001280F"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> </w:t>
      </w:r>
      <w:r>
        <w:t>:</w:t>
      </w:r>
      <w:r w:rsidRPr="0001280F">
        <w:t xml:space="preserve"> </w:t>
      </w:r>
    </w:p>
    <w:p w:rsidR="002711D7" w:rsidRDefault="002711D7" w:rsidP="002711D7">
      <w:pPr>
        <w:jc w:val="both"/>
      </w:pPr>
    </w:p>
    <w:p w:rsidR="002711D7" w:rsidRDefault="002711D7" w:rsidP="002711D7">
      <w:pPr>
        <w:jc w:val="both"/>
      </w:pPr>
      <w:r>
        <w:t xml:space="preserve">L’entretien dont il est question à l’article R 125-5 du code de la construction et de l’habitation comprend : </w:t>
      </w:r>
    </w:p>
    <w:p w:rsidR="002711D7" w:rsidRDefault="002711D7" w:rsidP="002711D7">
      <w:pPr>
        <w:ind w:left="708"/>
        <w:jc w:val="both"/>
      </w:pPr>
    </w:p>
    <w:p w:rsidR="002711D7" w:rsidRDefault="002711D7" w:rsidP="002711D7">
      <w:pPr>
        <w:numPr>
          <w:ilvl w:val="0"/>
          <w:numId w:val="2"/>
        </w:numPr>
        <w:tabs>
          <w:tab w:val="clear" w:pos="1068"/>
        </w:tabs>
        <w:ind w:left="851"/>
        <w:jc w:val="both"/>
      </w:pPr>
      <w:r>
        <w:t xml:space="preserve">Les visites d’entretien (nettoyage, graissage, réglages des organes mécaniques, électriques, électroniques) nécessaires au bon fonctionnement dans les conditions normales de sécurité, </w:t>
      </w:r>
    </w:p>
    <w:p w:rsidR="002711D7" w:rsidRDefault="002711D7" w:rsidP="002711D7">
      <w:pPr>
        <w:numPr>
          <w:ilvl w:val="0"/>
          <w:numId w:val="2"/>
        </w:numPr>
        <w:tabs>
          <w:tab w:val="clear" w:pos="1068"/>
        </w:tabs>
        <w:ind w:left="851"/>
        <w:jc w:val="both"/>
      </w:pPr>
      <w:r>
        <w:t>Le contrôle de l’état de l’efficacité des éléments liés au bon fonctionnement et à la sécurité,</w:t>
      </w:r>
    </w:p>
    <w:p w:rsidR="002711D7" w:rsidRDefault="002711D7" w:rsidP="002711D7">
      <w:pPr>
        <w:numPr>
          <w:ilvl w:val="0"/>
          <w:numId w:val="2"/>
        </w:numPr>
        <w:tabs>
          <w:tab w:val="clear" w:pos="1068"/>
        </w:tabs>
        <w:ind w:left="851"/>
        <w:jc w:val="both"/>
      </w:pPr>
      <w:r>
        <w:t>La fourniture des produits de lubrification et de nettoyage nécessaire à un bon fonctionnement,</w:t>
      </w:r>
    </w:p>
    <w:p w:rsidR="002711D7" w:rsidRDefault="002711D7" w:rsidP="002711D7">
      <w:pPr>
        <w:numPr>
          <w:ilvl w:val="0"/>
          <w:numId w:val="2"/>
        </w:numPr>
        <w:tabs>
          <w:tab w:val="clear" w:pos="1068"/>
        </w:tabs>
        <w:ind w:left="851"/>
        <w:jc w:val="both"/>
      </w:pPr>
      <w:r>
        <w:t>La fourniture du livret d’entretien.</w:t>
      </w:r>
    </w:p>
    <w:p w:rsidR="002711D7" w:rsidRDefault="002711D7" w:rsidP="002711D7">
      <w:pPr>
        <w:jc w:val="both"/>
      </w:pPr>
    </w:p>
    <w:p w:rsidR="002711D7" w:rsidRDefault="002711D7" w:rsidP="002711D7">
      <w:pPr>
        <w:jc w:val="both"/>
      </w:pPr>
    </w:p>
    <w:p w:rsidR="002711D7" w:rsidRDefault="002711D7" w:rsidP="002711D7">
      <w:pPr>
        <w:jc w:val="both"/>
      </w:pPr>
    </w:p>
    <w:p w:rsidR="002711D7" w:rsidRDefault="002711D7" w:rsidP="002711D7">
      <w:pPr>
        <w:jc w:val="both"/>
      </w:pPr>
    </w:p>
    <w:p w:rsidR="002711D7" w:rsidRDefault="002711D7" w:rsidP="002711D7">
      <w:pPr>
        <w:jc w:val="both"/>
      </w:pPr>
    </w:p>
    <w:p w:rsidR="002711D7" w:rsidRDefault="002711D7" w:rsidP="002711D7">
      <w:pPr>
        <w:numPr>
          <w:ilvl w:val="0"/>
          <w:numId w:val="2"/>
        </w:numPr>
        <w:tabs>
          <w:tab w:val="clear" w:pos="1068"/>
        </w:tabs>
        <w:ind w:left="426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Intervention donnant lieu à facturation</w:t>
      </w:r>
    </w:p>
    <w:p w:rsidR="002711D7" w:rsidRDefault="002711D7" w:rsidP="002711D7">
      <w:pPr>
        <w:ind w:left="708"/>
        <w:jc w:val="both"/>
      </w:pPr>
    </w:p>
    <w:p w:rsidR="002711D7" w:rsidRDefault="002711D7" w:rsidP="002711D7">
      <w:pPr>
        <w:numPr>
          <w:ilvl w:val="0"/>
          <w:numId w:val="2"/>
        </w:numPr>
        <w:tabs>
          <w:tab w:val="clear" w:pos="1068"/>
        </w:tabs>
        <w:ind w:left="851"/>
        <w:jc w:val="both"/>
      </w:pPr>
      <w:r>
        <w:t>A définir</w:t>
      </w:r>
      <w:r>
        <w:t xml:space="preserve"> </w:t>
      </w:r>
      <w:bookmarkStart w:id="1" w:name="_GoBack"/>
      <w:bookmarkEnd w:id="1"/>
    </w:p>
    <w:p w:rsidR="002711D7" w:rsidRDefault="002711D7" w:rsidP="002711D7">
      <w:pPr>
        <w:jc w:val="both"/>
      </w:pPr>
    </w:p>
    <w:p w:rsidR="002711D7" w:rsidRPr="0001280F" w:rsidRDefault="002711D7" w:rsidP="002711D7">
      <w:pPr>
        <w:jc w:val="both"/>
        <w:rPr>
          <w:b/>
          <w:bCs/>
          <w:u w:val="single"/>
        </w:rPr>
      </w:pPr>
      <w:r w:rsidRPr="0001280F">
        <w:rPr>
          <w:b/>
          <w:bCs/>
          <w:u w:val="single"/>
        </w:rPr>
        <w:t>Article 2</w:t>
      </w:r>
      <w:r>
        <w:rPr>
          <w:b/>
          <w:bCs/>
          <w:u w:val="single"/>
        </w:rPr>
        <w:t> :</w:t>
      </w:r>
    </w:p>
    <w:p w:rsidR="002711D7" w:rsidRPr="0006033F" w:rsidRDefault="002711D7" w:rsidP="002711D7">
      <w:pPr>
        <w:ind w:firstLine="708"/>
        <w:jc w:val="both"/>
        <w:rPr>
          <w:b/>
          <w:bCs/>
        </w:rPr>
      </w:pPr>
    </w:p>
    <w:p w:rsidR="002711D7" w:rsidRDefault="002711D7" w:rsidP="002711D7">
      <w:pPr>
        <w:jc w:val="both"/>
      </w:pPr>
      <w:r>
        <w:t xml:space="preserve">L’entretien porte sur les éléments suivants : </w:t>
      </w:r>
    </w:p>
    <w:p w:rsidR="002711D7" w:rsidRDefault="002711D7" w:rsidP="002711D7">
      <w:pPr>
        <w:ind w:left="1068"/>
        <w:jc w:val="both"/>
      </w:pPr>
    </w:p>
    <w:p w:rsidR="002711D7" w:rsidRDefault="002711D7" w:rsidP="002711D7">
      <w:pPr>
        <w:numPr>
          <w:ilvl w:val="0"/>
          <w:numId w:val="2"/>
        </w:numPr>
        <w:jc w:val="both"/>
      </w:pPr>
      <w:r>
        <w:t>Le tablier,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Les éléments de guidage (rails, galets),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Les articulations (charnières, pivots),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Les fixations,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Les éléments de transmission du mouvement,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Les moto-rédacteurs, pompes ou compresseurs,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Les chaînes, câbles, courroies,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 xml:space="preserve">Les fins de courses, 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Les organes de commande,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Les organes de sécurité des personnes,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Le limiteur d’effort,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L’armoire de commande,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L’équilibrage (contrepoids, ressorts),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 xml:space="preserve">Le débrayage manuel, 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 xml:space="preserve">La signalisation (visualisation et marquage au sol), 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propreté de l’ensemble de l’équipement.</w:t>
      </w:r>
    </w:p>
    <w:p w:rsidR="002711D7" w:rsidRDefault="002711D7" w:rsidP="002711D7">
      <w:pPr>
        <w:jc w:val="both"/>
      </w:pPr>
    </w:p>
    <w:p w:rsidR="002711D7" w:rsidRPr="0001280F" w:rsidRDefault="002711D7" w:rsidP="002711D7">
      <w:pPr>
        <w:jc w:val="both"/>
        <w:rPr>
          <w:u w:val="single"/>
        </w:rPr>
      </w:pPr>
    </w:p>
    <w:p w:rsidR="002711D7" w:rsidRPr="0001280F" w:rsidRDefault="002711D7" w:rsidP="002711D7">
      <w:pPr>
        <w:jc w:val="both"/>
        <w:rPr>
          <w:b/>
          <w:bCs/>
          <w:u w:val="single"/>
        </w:rPr>
      </w:pPr>
      <w:r w:rsidRPr="0001280F">
        <w:rPr>
          <w:b/>
          <w:bCs/>
          <w:u w:val="single"/>
        </w:rPr>
        <w:t>Article 3</w:t>
      </w:r>
      <w:r>
        <w:rPr>
          <w:b/>
          <w:bCs/>
          <w:u w:val="single"/>
        </w:rPr>
        <w:t> :</w:t>
      </w:r>
    </w:p>
    <w:p w:rsidR="002711D7" w:rsidRPr="0006033F" w:rsidRDefault="002711D7" w:rsidP="002711D7">
      <w:pPr>
        <w:ind w:firstLine="708"/>
        <w:jc w:val="both"/>
        <w:rPr>
          <w:b/>
          <w:bCs/>
        </w:rPr>
      </w:pPr>
      <w:r w:rsidRPr="0006033F">
        <w:rPr>
          <w:b/>
          <w:bCs/>
        </w:rPr>
        <w:tab/>
      </w:r>
    </w:p>
    <w:p w:rsidR="002711D7" w:rsidRPr="00B16D68" w:rsidRDefault="002711D7" w:rsidP="002711D7">
      <w:pPr>
        <w:numPr>
          <w:ilvl w:val="0"/>
          <w:numId w:val="3"/>
        </w:numPr>
        <w:ind w:left="708"/>
        <w:jc w:val="both"/>
      </w:pPr>
      <w:r w:rsidRPr="00B16D68">
        <w:rPr>
          <w:bCs/>
        </w:rPr>
        <w:t xml:space="preserve">Visites périodiques à raison de deux visites par an. </w:t>
      </w:r>
    </w:p>
    <w:p w:rsidR="002711D7" w:rsidRDefault="002711D7" w:rsidP="002711D7">
      <w:pPr>
        <w:jc w:val="both"/>
        <w:rPr>
          <w:bCs/>
        </w:rPr>
      </w:pPr>
    </w:p>
    <w:p w:rsidR="002711D7" w:rsidRDefault="002711D7" w:rsidP="002711D7">
      <w:pPr>
        <w:jc w:val="both"/>
      </w:pPr>
    </w:p>
    <w:p w:rsidR="002711D7" w:rsidRPr="0001280F" w:rsidRDefault="002711D7" w:rsidP="002711D7">
      <w:pPr>
        <w:jc w:val="both"/>
        <w:rPr>
          <w:b/>
          <w:bCs/>
          <w:u w:val="single"/>
        </w:rPr>
      </w:pPr>
      <w:r w:rsidRPr="0001280F">
        <w:rPr>
          <w:b/>
          <w:bCs/>
          <w:u w:val="single"/>
        </w:rPr>
        <w:t>Article 4</w:t>
      </w:r>
      <w:r>
        <w:rPr>
          <w:b/>
          <w:bCs/>
          <w:u w:val="single"/>
        </w:rPr>
        <w:t> :</w:t>
      </w:r>
    </w:p>
    <w:p w:rsidR="002711D7" w:rsidRDefault="002711D7" w:rsidP="002711D7">
      <w:pPr>
        <w:ind w:left="708"/>
        <w:jc w:val="both"/>
      </w:pPr>
    </w:p>
    <w:p w:rsidR="002711D7" w:rsidRDefault="002711D7" w:rsidP="002711D7">
      <w:pPr>
        <w:jc w:val="both"/>
      </w:pPr>
      <w:r>
        <w:t xml:space="preserve">Au cours des 2 visites annuelles, les opérations suivantes sont effectuées : </w:t>
      </w:r>
    </w:p>
    <w:p w:rsidR="002711D7" w:rsidRDefault="002711D7" w:rsidP="002711D7">
      <w:pPr>
        <w:ind w:left="708"/>
        <w:jc w:val="both"/>
      </w:pPr>
    </w:p>
    <w:p w:rsidR="002711D7" w:rsidRDefault="002711D7" w:rsidP="002711D7">
      <w:pPr>
        <w:numPr>
          <w:ilvl w:val="0"/>
          <w:numId w:val="2"/>
        </w:numPr>
        <w:jc w:val="both"/>
      </w:pPr>
      <w:r>
        <w:t xml:space="preserve">La vérification du bon fonctionnement des dispositifs de sécurité des personnes (lames </w:t>
      </w:r>
      <w:proofErr w:type="spellStart"/>
      <w:r>
        <w:t>palpeuses</w:t>
      </w:r>
      <w:proofErr w:type="spellEnd"/>
      <w:r>
        <w:t>, pressostats, cellules, photo-électriques, etc.…)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du bon fonctionnement du débrayage manuel,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du bon fonctionnement du limiteur d’effort,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des articulations (charnières, pivots),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des cycles de fonctionnement dans les zones d’accostage,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du bon fonctionnement et de l’état de la signalisation (feux orange, clignotants, éclairage et matérialisation au sol de l’aire dangereuse de mouvement),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des éléments de transmission du mouvement (bras, câbles, chaînes, courroies),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lubrification et les réglages nécessaires au bon fonctionnement,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de l’opérateur (moto réducteur électrique, opérateur électrohydraulique)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 xml:space="preserve">Un examen général du fonctionnement de la porte à raison d’une visite sur deux, les opérations suivantes sont effectuées : 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du verrouillage de la porte,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des éléments de guidage (rails, galets),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des organes de commande et télécommande,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des systèmes d’équilibrage contrepoids, ressorts),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de l’armoire de commande et ses composants,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de la fixation de la porte,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du bon fonctionnement du système empêchant la chute du tablier,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vérification de l’état des peintures de la corrosion,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fourniture des lubrifiants et produits de nettoyage,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 xml:space="preserve">Le remplacement en cas de nécessité de petites pièces usées par le fonctionnement normal de la porte </w:t>
      </w:r>
      <w:proofErr w:type="gramStart"/>
      <w:r>
        <w:t>axes</w:t>
      </w:r>
      <w:proofErr w:type="gramEnd"/>
      <w:r>
        <w:t>, goupilles, galets donnant lieu à une facturation),</w:t>
      </w:r>
    </w:p>
    <w:p w:rsidR="002711D7" w:rsidRDefault="002711D7" w:rsidP="002711D7">
      <w:pPr>
        <w:numPr>
          <w:ilvl w:val="0"/>
          <w:numId w:val="2"/>
        </w:numPr>
        <w:jc w:val="both"/>
      </w:pPr>
      <w:r>
        <w:t>La fourniture et la tenue du livret d’entretien ou sont consignées toutes les interventions réalisées.</w:t>
      </w:r>
    </w:p>
    <w:p w:rsidR="002711D7" w:rsidRDefault="002711D7" w:rsidP="002711D7">
      <w:pPr>
        <w:ind w:left="708"/>
        <w:jc w:val="both"/>
      </w:pPr>
    </w:p>
    <w:sectPr w:rsidR="002711D7" w:rsidSect="002711D7">
      <w:pgSz w:w="11906" w:h="16838"/>
      <w:pgMar w:top="851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4382"/>
    <w:multiLevelType w:val="hybridMultilevel"/>
    <w:tmpl w:val="66C64A9C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903DA9"/>
    <w:multiLevelType w:val="hybridMultilevel"/>
    <w:tmpl w:val="68B20C0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B269CA"/>
    <w:multiLevelType w:val="hybridMultilevel"/>
    <w:tmpl w:val="76ECB71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D7"/>
    <w:rsid w:val="002711D7"/>
    <w:rsid w:val="00C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D7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711D7"/>
    <w:pPr>
      <w:shd w:val="clear" w:color="auto" w:fill="FFFFFF"/>
      <w:spacing w:before="173" w:line="259" w:lineRule="exact"/>
      <w:ind w:left="14" w:right="2736" w:hanging="14"/>
      <w:jc w:val="both"/>
      <w:outlineLvl w:val="2"/>
    </w:pPr>
    <w:rPr>
      <w:b/>
      <w:color w:val="000000"/>
    </w:rPr>
  </w:style>
  <w:style w:type="paragraph" w:styleId="Titre4">
    <w:name w:val="heading 4"/>
    <w:basedOn w:val="Normal"/>
    <w:next w:val="Normal"/>
    <w:link w:val="Titre4Car"/>
    <w:qFormat/>
    <w:rsid w:val="002711D7"/>
    <w:pPr>
      <w:keepNext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711D7"/>
    <w:rPr>
      <w:rFonts w:ascii="Arial" w:eastAsia="Times New Roman" w:hAnsi="Arial" w:cs="Arial"/>
      <w:b/>
      <w:color w:val="000000"/>
      <w:sz w:val="20"/>
      <w:szCs w:val="20"/>
      <w:shd w:val="clear" w:color="auto" w:fill="FFFFFF"/>
      <w:lang w:eastAsia="fr-FR"/>
    </w:rPr>
  </w:style>
  <w:style w:type="character" w:customStyle="1" w:styleId="Titre4Car">
    <w:name w:val="Titre 4 Car"/>
    <w:basedOn w:val="Policepardfaut"/>
    <w:link w:val="Titre4"/>
    <w:rsid w:val="002711D7"/>
    <w:rPr>
      <w:rFonts w:ascii="Arial" w:eastAsia="Times New Roman" w:hAnsi="Arial" w:cs="Arial"/>
      <w:sz w:val="20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D7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711D7"/>
    <w:pPr>
      <w:shd w:val="clear" w:color="auto" w:fill="FFFFFF"/>
      <w:spacing w:before="173" w:line="259" w:lineRule="exact"/>
      <w:ind w:left="14" w:right="2736" w:hanging="14"/>
      <w:jc w:val="both"/>
      <w:outlineLvl w:val="2"/>
    </w:pPr>
    <w:rPr>
      <w:b/>
      <w:color w:val="000000"/>
    </w:rPr>
  </w:style>
  <w:style w:type="paragraph" w:styleId="Titre4">
    <w:name w:val="heading 4"/>
    <w:basedOn w:val="Normal"/>
    <w:next w:val="Normal"/>
    <w:link w:val="Titre4Car"/>
    <w:qFormat/>
    <w:rsid w:val="002711D7"/>
    <w:pPr>
      <w:keepNext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711D7"/>
    <w:rPr>
      <w:rFonts w:ascii="Arial" w:eastAsia="Times New Roman" w:hAnsi="Arial" w:cs="Arial"/>
      <w:b/>
      <w:color w:val="000000"/>
      <w:sz w:val="20"/>
      <w:szCs w:val="20"/>
      <w:shd w:val="clear" w:color="auto" w:fill="FFFFFF"/>
      <w:lang w:eastAsia="fr-FR"/>
    </w:rPr>
  </w:style>
  <w:style w:type="character" w:customStyle="1" w:styleId="Titre4Car">
    <w:name w:val="Titre 4 Car"/>
    <w:basedOn w:val="Policepardfaut"/>
    <w:link w:val="Titre4"/>
    <w:rsid w:val="002711D7"/>
    <w:rPr>
      <w:rFonts w:ascii="Arial" w:eastAsia="Times New Roman" w:hAnsi="Arial" w:cs="Arial"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1</cp:revision>
  <dcterms:created xsi:type="dcterms:W3CDTF">2018-09-26T09:25:00Z</dcterms:created>
  <dcterms:modified xsi:type="dcterms:W3CDTF">2018-09-26T09:29:00Z</dcterms:modified>
</cp:coreProperties>
</file>