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27" w:rsidRPr="001C0055" w:rsidRDefault="001C0055" w:rsidP="001C0055">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color w:val="17365D" w:themeColor="text2" w:themeShade="BF"/>
        </w:rPr>
      </w:pPr>
      <w:r w:rsidRPr="001C0055">
        <w:rPr>
          <w:b/>
          <w:color w:val="17365D" w:themeColor="text2" w:themeShade="BF"/>
        </w:rPr>
        <w:t xml:space="preserve">CONTRAT </w:t>
      </w:r>
    </w:p>
    <w:p w:rsidR="001C0055" w:rsidRPr="001C0055" w:rsidRDefault="001C0055" w:rsidP="001C0055">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rPr>
      </w:pPr>
      <w:r>
        <w:rPr>
          <w:b/>
        </w:rPr>
        <w:t>------------</w:t>
      </w:r>
    </w:p>
    <w:p w:rsidR="004E5F27" w:rsidRPr="001C0055" w:rsidRDefault="004E5F27" w:rsidP="001C0055">
      <w:pPr>
        <w:pStyle w:val="Titre1"/>
        <w:shd w:val="clear" w:color="auto" w:fill="EAF1DD" w:themeFill="accent3" w:themeFillTint="33"/>
        <w:rPr>
          <w:color w:val="17365D" w:themeColor="text2" w:themeShade="BF"/>
          <w:sz w:val="28"/>
        </w:rPr>
      </w:pPr>
      <w:r w:rsidRPr="001C0055">
        <w:rPr>
          <w:color w:val="17365D" w:themeColor="text2" w:themeShade="BF"/>
          <w:sz w:val="28"/>
        </w:rPr>
        <w:t>CAHIER DES CLAUSES PARTICULIERES (CCP)</w:t>
      </w:r>
    </w:p>
    <w:p w:rsidR="001C0055" w:rsidRDefault="001C0055">
      <w:pPr>
        <w:pStyle w:val="Titre3"/>
      </w:pPr>
    </w:p>
    <w:p w:rsidR="004E5F27" w:rsidRDefault="004E5F27">
      <w:pPr>
        <w:pStyle w:val="Titre3"/>
      </w:pPr>
      <w:r>
        <w:t>Marché à Procédure Adaptée</w:t>
      </w:r>
    </w:p>
    <w:p w:rsidR="004E5F27" w:rsidRDefault="00BA2EC2">
      <w:pPr>
        <w:jc w:val="both"/>
        <w:rPr>
          <w:sz w:val="20"/>
        </w:rPr>
      </w:pPr>
      <w:r>
        <w:rPr>
          <w:sz w:val="20"/>
        </w:rPr>
        <w:t>Articles 78-80 du décret n°</w:t>
      </w:r>
      <w:r w:rsidR="00F32E2E">
        <w:rPr>
          <w:sz w:val="20"/>
        </w:rPr>
        <w:t>2016-360 du 25/03/2016</w:t>
      </w:r>
    </w:p>
    <w:p w:rsidR="004E5F27" w:rsidRDefault="004E5F27">
      <w:pPr>
        <w:jc w:val="both"/>
        <w:rPr>
          <w:sz w:val="20"/>
        </w:rPr>
      </w:pPr>
    </w:p>
    <w:p w:rsidR="004E5F27" w:rsidRDefault="004E5F27">
      <w:pPr>
        <w:jc w:val="both"/>
        <w:rPr>
          <w:b/>
          <w:bCs/>
          <w:sz w:val="20"/>
        </w:rPr>
      </w:pPr>
    </w:p>
    <w:p w:rsidR="004A4CAD" w:rsidRDefault="004A4CAD">
      <w:pPr>
        <w:jc w:val="both"/>
        <w:rPr>
          <w:b/>
          <w:bCs/>
          <w:sz w:val="20"/>
        </w:rPr>
      </w:pPr>
    </w:p>
    <w:p w:rsidR="004E5F27" w:rsidRDefault="004E5F27" w:rsidP="001C0055">
      <w:pPr>
        <w:jc w:val="center"/>
        <w:rPr>
          <w:b/>
          <w:bCs/>
          <w:sz w:val="20"/>
        </w:rPr>
      </w:pPr>
    </w:p>
    <w:p w:rsidR="00B643D9" w:rsidRDefault="004E5F27" w:rsidP="00D43199">
      <w:pPr>
        <w:pStyle w:val="Titre5"/>
        <w:pBdr>
          <w:top w:val="single" w:sz="4" w:space="1" w:color="auto"/>
          <w:left w:val="single" w:sz="4" w:space="4" w:color="auto"/>
          <w:bottom w:val="single" w:sz="4" w:space="1" w:color="auto"/>
          <w:right w:val="single" w:sz="4" w:space="4" w:color="auto"/>
        </w:pBdr>
        <w:shd w:val="clear" w:color="auto" w:fill="DBE5F1" w:themeFill="accent1" w:themeFillTint="33"/>
        <w:jc w:val="center"/>
      </w:pPr>
      <w:r>
        <w:t xml:space="preserve">OBJET DU MARCHE : </w:t>
      </w:r>
    </w:p>
    <w:p w:rsidR="00584DE5" w:rsidRDefault="00024388" w:rsidP="00D43199">
      <w:pPr>
        <w:pStyle w:val="Titre5"/>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4"/>
        </w:rPr>
      </w:pPr>
      <w:r>
        <w:rPr>
          <w:sz w:val="24"/>
        </w:rPr>
        <w:t>FOURNITURES DE DENREES ALIMENTAIRES</w:t>
      </w:r>
      <w:r w:rsidR="00F72EC6">
        <w:rPr>
          <w:sz w:val="24"/>
        </w:rPr>
        <w:t xml:space="preserve"> – </w:t>
      </w:r>
    </w:p>
    <w:p w:rsidR="004E5F27" w:rsidRDefault="00D41F30" w:rsidP="00D43199">
      <w:pPr>
        <w:pStyle w:val="Titre5"/>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4"/>
        </w:rPr>
      </w:pPr>
      <w:r>
        <w:rPr>
          <w:sz w:val="24"/>
        </w:rPr>
        <w:t>MARCHE N°</w:t>
      </w:r>
      <w:r w:rsidR="00B46A9D">
        <w:rPr>
          <w:sz w:val="24"/>
        </w:rPr>
        <w:t>5</w:t>
      </w:r>
      <w:r w:rsidR="00F72EC6">
        <w:rPr>
          <w:sz w:val="24"/>
        </w:rPr>
        <w:t xml:space="preserve">/ </w:t>
      </w:r>
      <w:r w:rsidR="008F49D3">
        <w:rPr>
          <w:sz w:val="24"/>
        </w:rPr>
        <w:t>FRUITS ET LEGUMES FRAIS, PRODUITS DE 4EME ET 5EME GAMME</w:t>
      </w:r>
    </w:p>
    <w:p w:rsidR="004E5F27" w:rsidRDefault="004E5F27" w:rsidP="00D43199"/>
    <w:p w:rsidR="004A4CAD" w:rsidRDefault="004A4CAD" w:rsidP="00D43199"/>
    <w:p w:rsidR="001C0055" w:rsidRDefault="004E5F27" w:rsidP="001C0055">
      <w:pPr>
        <w:pStyle w:val="Titre7"/>
        <w:pBdr>
          <w:top w:val="single" w:sz="4" w:space="1" w:color="auto"/>
          <w:left w:val="single" w:sz="4" w:space="4" w:color="auto"/>
          <w:bottom w:val="single" w:sz="4" w:space="1" w:color="auto"/>
          <w:right w:val="single" w:sz="4" w:space="4" w:color="auto"/>
        </w:pBdr>
      </w:pPr>
      <w:r w:rsidRPr="001C0055">
        <w:rPr>
          <w:sz w:val="24"/>
        </w:rPr>
        <w:t>Date limite de réception des offr</w:t>
      </w:r>
      <w:r w:rsidR="00C668E0" w:rsidRPr="001C0055">
        <w:rPr>
          <w:sz w:val="24"/>
        </w:rPr>
        <w:t>es</w:t>
      </w:r>
      <w:r w:rsidR="00C668E0">
        <w:t xml:space="preserve"> : </w:t>
      </w:r>
    </w:p>
    <w:p w:rsidR="004E5F27" w:rsidRPr="001C0055" w:rsidRDefault="00C84742" w:rsidP="001C0055">
      <w:pPr>
        <w:pStyle w:val="Titre7"/>
        <w:pBdr>
          <w:top w:val="single" w:sz="4" w:space="1" w:color="auto"/>
          <w:left w:val="single" w:sz="4" w:space="4" w:color="auto"/>
          <w:bottom w:val="single" w:sz="4" w:space="1" w:color="auto"/>
          <w:right w:val="single" w:sz="4" w:space="4" w:color="auto"/>
        </w:pBdr>
        <w:rPr>
          <w:sz w:val="24"/>
        </w:rPr>
      </w:pPr>
      <w:r>
        <w:rPr>
          <w:sz w:val="24"/>
        </w:rPr>
        <w:t>Vendredi 2</w:t>
      </w:r>
      <w:r w:rsidR="00022BD8">
        <w:rPr>
          <w:sz w:val="24"/>
        </w:rPr>
        <w:t>1 juin 2024</w:t>
      </w:r>
    </w:p>
    <w:p w:rsidR="001C0055" w:rsidRPr="001C0055" w:rsidRDefault="001C0055" w:rsidP="001C0055">
      <w:pPr>
        <w:pBdr>
          <w:top w:val="single" w:sz="4" w:space="1" w:color="auto"/>
          <w:left w:val="single" w:sz="4" w:space="4" w:color="auto"/>
          <w:bottom w:val="single" w:sz="4" w:space="1" w:color="auto"/>
          <w:right w:val="single" w:sz="4" w:space="4" w:color="auto"/>
        </w:pBdr>
        <w:jc w:val="center"/>
        <w:rPr>
          <w:b/>
          <w:color w:val="FF0000"/>
        </w:rPr>
      </w:pPr>
      <w:r w:rsidRPr="001C0055">
        <w:rPr>
          <w:b/>
          <w:color w:val="FF0000"/>
        </w:rPr>
        <w:t>Avant 1</w:t>
      </w:r>
      <w:r w:rsidR="00B46A9D">
        <w:rPr>
          <w:b/>
          <w:color w:val="FF0000"/>
        </w:rPr>
        <w:t>2</w:t>
      </w:r>
      <w:r w:rsidRPr="001C0055">
        <w:rPr>
          <w:b/>
          <w:color w:val="FF0000"/>
        </w:rPr>
        <w:t>h00</w:t>
      </w:r>
    </w:p>
    <w:p w:rsidR="001C0055" w:rsidRDefault="001C0055" w:rsidP="001C0055">
      <w:pPr>
        <w:rPr>
          <w:b/>
          <w:color w:val="FF0000"/>
        </w:rPr>
      </w:pPr>
    </w:p>
    <w:p w:rsidR="004A4CAD" w:rsidRDefault="001C0055" w:rsidP="004A4CAD">
      <w:pPr>
        <w:rPr>
          <w:b/>
        </w:rPr>
      </w:pPr>
      <w:r w:rsidRPr="004A4CAD">
        <w:rPr>
          <w:b/>
        </w:rPr>
        <w:t xml:space="preserve">Etablissement : </w:t>
      </w:r>
      <w:r w:rsidR="004A4CAD">
        <w:rPr>
          <w:b/>
        </w:rPr>
        <w:t xml:space="preserve"> </w:t>
      </w:r>
    </w:p>
    <w:p w:rsidR="001C0055" w:rsidRDefault="001C0055" w:rsidP="004A4CAD">
      <w:pPr>
        <w:jc w:val="center"/>
        <w:rPr>
          <w:b/>
        </w:rPr>
      </w:pPr>
      <w:r w:rsidRPr="004A4CAD">
        <w:rPr>
          <w:b/>
        </w:rPr>
        <w:t>COLLEGE LES ROUSSILLOUS</w:t>
      </w:r>
    </w:p>
    <w:p w:rsidR="004A4CAD" w:rsidRPr="004A4CAD" w:rsidRDefault="004A4CAD" w:rsidP="004A4CAD">
      <w:pPr>
        <w:jc w:val="center"/>
        <w:rPr>
          <w:b/>
        </w:rPr>
      </w:pPr>
    </w:p>
    <w:p w:rsidR="001C0055" w:rsidRDefault="004A4CAD" w:rsidP="004A4CAD">
      <w:pPr>
        <w:jc w:val="center"/>
      </w:pPr>
      <w:r>
        <w:t>a</w:t>
      </w:r>
      <w:r w:rsidR="001C0055">
        <w:t>dresse : avenue de Lanta – 31570 ST PIERRE DE LAGES</w:t>
      </w:r>
    </w:p>
    <w:p w:rsidR="001C0055" w:rsidRDefault="004A4CAD" w:rsidP="004A4CAD">
      <w:pPr>
        <w:jc w:val="center"/>
      </w:pPr>
      <w:r>
        <w:t xml:space="preserve">téléphone : 05.62.18.84.30 </w:t>
      </w:r>
      <w:r>
        <w:tab/>
        <w:t>fax : 05.62.18.84.35</w:t>
      </w:r>
    </w:p>
    <w:p w:rsidR="004A4CAD" w:rsidRDefault="004A4CAD" w:rsidP="004A4CAD">
      <w:pPr>
        <w:jc w:val="center"/>
      </w:pPr>
      <w:r>
        <w:t xml:space="preserve">courriel : </w:t>
      </w:r>
      <w:hyperlink r:id="rId9" w:history="1">
        <w:r w:rsidRPr="008C5F70">
          <w:rPr>
            <w:rStyle w:val="Lienhypertexte"/>
          </w:rPr>
          <w:t>0312609t-gest@ac-toulouse.fr</w:t>
        </w:r>
      </w:hyperlink>
    </w:p>
    <w:p w:rsidR="004A4CAD" w:rsidRDefault="004A4CAD" w:rsidP="004A4CAD"/>
    <w:p w:rsidR="004A4CAD" w:rsidRDefault="004A4CAD" w:rsidP="004A4CAD">
      <w:r>
        <w:t>Pouvoir adjudicateur : le Principal du Collège Les Roussillous</w:t>
      </w:r>
    </w:p>
    <w:p w:rsidR="004A4CAD" w:rsidRDefault="004A4CAD" w:rsidP="004A4CAD">
      <w:r>
        <w:t>Personne responsable du marché : la Gestionnaire du Collège Les Roussillous</w:t>
      </w:r>
    </w:p>
    <w:p w:rsidR="004A4CAD" w:rsidRDefault="004A4CAD" w:rsidP="004A4CAD">
      <w:r>
        <w:t>Agent</w:t>
      </w:r>
      <w:r w:rsidR="008E1B66">
        <w:t xml:space="preserve"> comptable assignataire : Agent comptable du Lycée </w:t>
      </w:r>
      <w:r w:rsidR="000375F5">
        <w:t>Pierre de Fermat</w:t>
      </w:r>
      <w:r w:rsidR="008E1B66">
        <w:t xml:space="preserve"> de Toulouse</w:t>
      </w:r>
    </w:p>
    <w:p w:rsidR="004E5F27" w:rsidRDefault="004E5F27">
      <w:pPr>
        <w:jc w:val="both"/>
        <w:rPr>
          <w:sz w:val="20"/>
        </w:rPr>
      </w:pPr>
    </w:p>
    <w:p w:rsidR="004E5F27" w:rsidRDefault="002C177D" w:rsidP="001C0055">
      <w:pPr>
        <w:pStyle w:val="Titre5"/>
        <w:pBdr>
          <w:top w:val="single" w:sz="4" w:space="1" w:color="auto"/>
          <w:left w:val="single" w:sz="4" w:space="4" w:color="auto"/>
          <w:bottom w:val="single" w:sz="4" w:space="1" w:color="auto"/>
          <w:right w:val="single" w:sz="4" w:space="4" w:color="auto"/>
        </w:pBdr>
        <w:shd w:val="clear" w:color="auto" w:fill="EAF1DD" w:themeFill="accent3" w:themeFillTint="33"/>
      </w:pPr>
      <w:r>
        <w:t xml:space="preserve">ARTICLE 1 : OBJET DU MARCHE </w:t>
      </w:r>
    </w:p>
    <w:p w:rsidR="004E5F27" w:rsidRDefault="004E5F27">
      <w:pPr>
        <w:jc w:val="both"/>
        <w:rPr>
          <w:sz w:val="20"/>
        </w:rPr>
      </w:pPr>
    </w:p>
    <w:p w:rsidR="00677366" w:rsidRDefault="00677366" w:rsidP="00677366">
      <w:pPr>
        <w:jc w:val="both"/>
        <w:rPr>
          <w:sz w:val="20"/>
        </w:rPr>
      </w:pPr>
      <w:r>
        <w:rPr>
          <w:sz w:val="20"/>
        </w:rPr>
        <w:t xml:space="preserve">Il porte sur la fourniture de </w:t>
      </w:r>
      <w:r w:rsidR="002C177D">
        <w:rPr>
          <w:sz w:val="20"/>
        </w:rPr>
        <w:t>fruits et de légumes frais ainsi que des produits de 4</w:t>
      </w:r>
      <w:r w:rsidR="002C177D" w:rsidRPr="002C177D">
        <w:rPr>
          <w:sz w:val="20"/>
          <w:vertAlign w:val="superscript"/>
        </w:rPr>
        <w:t>ème</w:t>
      </w:r>
      <w:r w:rsidR="002C177D">
        <w:rPr>
          <w:sz w:val="20"/>
        </w:rPr>
        <w:t xml:space="preserve"> et 5</w:t>
      </w:r>
      <w:r w:rsidR="002C177D" w:rsidRPr="002C177D">
        <w:rPr>
          <w:sz w:val="20"/>
          <w:vertAlign w:val="superscript"/>
        </w:rPr>
        <w:t>ème</w:t>
      </w:r>
      <w:r w:rsidR="0035764E">
        <w:rPr>
          <w:sz w:val="20"/>
        </w:rPr>
        <w:t xml:space="preserve"> gamme</w:t>
      </w:r>
      <w:r w:rsidR="002C177D">
        <w:rPr>
          <w:sz w:val="20"/>
        </w:rPr>
        <w:t xml:space="preserve"> </w:t>
      </w:r>
      <w:r>
        <w:rPr>
          <w:sz w:val="20"/>
        </w:rPr>
        <w:t>au collège Les Roussillous de Saint Pierre de Lages selon les besoins exprimés dans le tableau joint.</w:t>
      </w:r>
    </w:p>
    <w:p w:rsidR="00677366" w:rsidRDefault="00151A89" w:rsidP="00677366">
      <w:pPr>
        <w:jc w:val="both"/>
        <w:rPr>
          <w:sz w:val="20"/>
        </w:rPr>
      </w:pPr>
      <w:r>
        <w:rPr>
          <w:sz w:val="20"/>
        </w:rPr>
        <w:t xml:space="preserve">A titre d’information, le collège fournit sur 4 jours environ </w:t>
      </w:r>
      <w:r w:rsidR="00B953C2">
        <w:rPr>
          <w:color w:val="FF0000"/>
          <w:sz w:val="20"/>
        </w:rPr>
        <w:t>55</w:t>
      </w:r>
      <w:r w:rsidR="00D231C0" w:rsidRPr="00D231C0">
        <w:rPr>
          <w:color w:val="FF0000"/>
          <w:sz w:val="20"/>
        </w:rPr>
        <w:t>0</w:t>
      </w:r>
      <w:r w:rsidRPr="00D231C0">
        <w:rPr>
          <w:color w:val="FF0000"/>
          <w:sz w:val="20"/>
        </w:rPr>
        <w:t xml:space="preserve"> repas</w:t>
      </w:r>
      <w:r w:rsidR="0014563A">
        <w:rPr>
          <w:color w:val="FF0000"/>
          <w:sz w:val="20"/>
        </w:rPr>
        <w:t xml:space="preserve"> à 580 repas</w:t>
      </w:r>
      <w:r>
        <w:rPr>
          <w:sz w:val="20"/>
        </w:rPr>
        <w:t>.</w:t>
      </w:r>
    </w:p>
    <w:p w:rsidR="00677366" w:rsidRDefault="00677366" w:rsidP="00677366">
      <w:pPr>
        <w:jc w:val="both"/>
        <w:rPr>
          <w:sz w:val="20"/>
        </w:rPr>
      </w:pPr>
      <w:r>
        <w:rPr>
          <w:sz w:val="20"/>
        </w:rPr>
        <w:t>Le volume faisant l’objet de ce marché peut varier dans la limite suivante : +/- 20%.</w:t>
      </w:r>
    </w:p>
    <w:p w:rsidR="001A2E14" w:rsidRDefault="001A2E14" w:rsidP="002C177D">
      <w:pPr>
        <w:jc w:val="both"/>
        <w:rPr>
          <w:sz w:val="20"/>
        </w:rPr>
      </w:pPr>
    </w:p>
    <w:p w:rsidR="002C177D" w:rsidRDefault="002C177D" w:rsidP="002C177D">
      <w:pPr>
        <w:jc w:val="both"/>
        <w:rPr>
          <w:sz w:val="20"/>
        </w:rPr>
      </w:pPr>
      <w:r>
        <w:rPr>
          <w:sz w:val="20"/>
        </w:rPr>
        <w:t>Du fait de la forte volatilité des prix pour cette catégorie de denrées alimentaires, il sera passé un accord-cadre avec deux (minimum) ou trois (maximum) titulaires sur la base du cahier des charges (c'est-à-dire qualité et catégories égales)</w:t>
      </w:r>
      <w:r w:rsidR="00CD17BA">
        <w:rPr>
          <w:sz w:val="20"/>
        </w:rPr>
        <w:t xml:space="preserve"> à savoir :</w:t>
      </w:r>
    </w:p>
    <w:p w:rsidR="00CD17BA" w:rsidRDefault="00CD17BA" w:rsidP="002C177D">
      <w:pPr>
        <w:jc w:val="both"/>
        <w:rPr>
          <w:sz w:val="20"/>
        </w:rPr>
      </w:pPr>
      <w:r>
        <w:rPr>
          <w:sz w:val="20"/>
        </w:rPr>
        <w:t xml:space="preserve"> - la qualité des produits</w:t>
      </w:r>
    </w:p>
    <w:p w:rsidR="00CD17BA" w:rsidRDefault="00CD17BA" w:rsidP="002C177D">
      <w:pPr>
        <w:jc w:val="both"/>
        <w:rPr>
          <w:sz w:val="20"/>
        </w:rPr>
      </w:pPr>
      <w:r>
        <w:rPr>
          <w:sz w:val="20"/>
        </w:rPr>
        <w:t xml:space="preserve">- la qualité de l’exécution </w:t>
      </w:r>
    </w:p>
    <w:p w:rsidR="00CD17BA" w:rsidRDefault="00CD17BA" w:rsidP="002C177D">
      <w:pPr>
        <w:jc w:val="both"/>
        <w:rPr>
          <w:sz w:val="20"/>
        </w:rPr>
      </w:pPr>
      <w:r>
        <w:rPr>
          <w:sz w:val="20"/>
        </w:rPr>
        <w:t>- le prix proposé</w:t>
      </w:r>
    </w:p>
    <w:p w:rsidR="00CD17BA" w:rsidRPr="001A2E14" w:rsidRDefault="00CD17BA" w:rsidP="002C177D">
      <w:pPr>
        <w:jc w:val="both"/>
        <w:rPr>
          <w:sz w:val="20"/>
        </w:rPr>
      </w:pPr>
    </w:p>
    <w:p w:rsidR="004E5F27" w:rsidRDefault="004E5F27" w:rsidP="00151A89">
      <w:pPr>
        <w:pStyle w:val="Titre5"/>
        <w:pBdr>
          <w:top w:val="single" w:sz="4" w:space="1" w:color="auto"/>
          <w:left w:val="single" w:sz="4" w:space="4" w:color="auto"/>
          <w:bottom w:val="single" w:sz="4" w:space="1" w:color="auto"/>
          <w:right w:val="single" w:sz="4" w:space="4" w:color="auto"/>
        </w:pBdr>
        <w:shd w:val="clear" w:color="auto" w:fill="D6E3BC" w:themeFill="accent3" w:themeFillTint="66"/>
      </w:pPr>
      <w:r>
        <w:t xml:space="preserve">ARTICLE 2 : DESCRIPTION </w:t>
      </w:r>
      <w:r w:rsidR="00F72EC6">
        <w:t>DU PRODUIT</w:t>
      </w:r>
    </w:p>
    <w:p w:rsidR="00677366" w:rsidRDefault="00677366" w:rsidP="00677366">
      <w:pPr>
        <w:jc w:val="both"/>
        <w:rPr>
          <w:i/>
          <w:sz w:val="20"/>
        </w:rPr>
      </w:pPr>
    </w:p>
    <w:p w:rsidR="00EB5754" w:rsidRPr="00132B55" w:rsidRDefault="00AC125A">
      <w:pPr>
        <w:jc w:val="both"/>
        <w:rPr>
          <w:b/>
          <w:sz w:val="20"/>
          <w:u w:val="single"/>
        </w:rPr>
      </w:pPr>
      <w:r w:rsidRPr="00132B55">
        <w:rPr>
          <w:b/>
          <w:sz w:val="20"/>
          <w:u w:val="single"/>
        </w:rPr>
        <w:t>Les produits livrés doivent répondre à une valeur commercial</w:t>
      </w:r>
      <w:r w:rsidR="00B953C2">
        <w:rPr>
          <w:b/>
          <w:sz w:val="20"/>
          <w:u w:val="single"/>
        </w:rPr>
        <w:t>e</w:t>
      </w:r>
      <w:r w:rsidRPr="00132B55">
        <w:rPr>
          <w:b/>
          <w:sz w:val="20"/>
          <w:u w:val="single"/>
        </w:rPr>
        <w:t xml:space="preserve"> dite </w:t>
      </w:r>
      <w:r w:rsidRPr="00132B55">
        <w:rPr>
          <w:b/>
          <w:color w:val="FF0000"/>
          <w:sz w:val="20"/>
          <w:u w:val="single"/>
        </w:rPr>
        <w:t>“extra”</w:t>
      </w:r>
      <w:r w:rsidRPr="00132B55">
        <w:rPr>
          <w:b/>
          <w:sz w:val="20"/>
          <w:u w:val="single"/>
        </w:rPr>
        <w:t xml:space="preserve"> ou à défaut de catégorie </w:t>
      </w:r>
      <w:r w:rsidRPr="00132B55">
        <w:rPr>
          <w:b/>
          <w:color w:val="FF0000"/>
          <w:sz w:val="20"/>
          <w:u w:val="single"/>
        </w:rPr>
        <w:t>“I”.</w:t>
      </w:r>
    </w:p>
    <w:p w:rsidR="00AC125A" w:rsidRDefault="00AC125A">
      <w:pPr>
        <w:jc w:val="both"/>
        <w:rPr>
          <w:sz w:val="20"/>
        </w:rPr>
      </w:pPr>
      <w:r>
        <w:rPr>
          <w:sz w:val="20"/>
        </w:rPr>
        <w:t>Les produits doivent être présentés avec les caractéristiques minimales suivantes:</w:t>
      </w:r>
    </w:p>
    <w:p w:rsidR="00AC125A" w:rsidRDefault="00AC125A">
      <w:pPr>
        <w:jc w:val="both"/>
        <w:rPr>
          <w:sz w:val="20"/>
        </w:rPr>
      </w:pPr>
      <w:r>
        <w:rPr>
          <w:sz w:val="20"/>
        </w:rPr>
        <w:t>- intacts (entiers)</w:t>
      </w:r>
    </w:p>
    <w:p w:rsidR="00AC125A" w:rsidRDefault="00AC125A">
      <w:pPr>
        <w:jc w:val="both"/>
        <w:rPr>
          <w:sz w:val="20"/>
        </w:rPr>
      </w:pPr>
      <w:r>
        <w:rPr>
          <w:sz w:val="20"/>
        </w:rPr>
        <w:t>- sains,</w:t>
      </w:r>
    </w:p>
    <w:p w:rsidR="00AC125A" w:rsidRDefault="00AC125A">
      <w:pPr>
        <w:jc w:val="both"/>
        <w:rPr>
          <w:sz w:val="20"/>
        </w:rPr>
      </w:pPr>
      <w:r>
        <w:rPr>
          <w:sz w:val="20"/>
        </w:rPr>
        <w:t>- d’aspects frais sans signe de flétrissement</w:t>
      </w:r>
    </w:p>
    <w:p w:rsidR="00AC125A" w:rsidRDefault="00AC125A">
      <w:pPr>
        <w:jc w:val="both"/>
        <w:rPr>
          <w:sz w:val="20"/>
        </w:rPr>
      </w:pPr>
      <w:r>
        <w:rPr>
          <w:sz w:val="20"/>
        </w:rPr>
        <w:t>- propres</w:t>
      </w:r>
    </w:p>
    <w:p w:rsidR="00AC125A" w:rsidRDefault="00AC125A">
      <w:pPr>
        <w:jc w:val="both"/>
        <w:rPr>
          <w:sz w:val="20"/>
        </w:rPr>
      </w:pPr>
      <w:r>
        <w:rPr>
          <w:sz w:val="20"/>
        </w:rPr>
        <w:t>- exempts de parasites et d’attaques atteignant la chair</w:t>
      </w:r>
    </w:p>
    <w:p w:rsidR="00AC125A" w:rsidRDefault="00AC125A">
      <w:pPr>
        <w:jc w:val="both"/>
        <w:rPr>
          <w:sz w:val="20"/>
        </w:rPr>
      </w:pPr>
      <w:r>
        <w:rPr>
          <w:sz w:val="20"/>
        </w:rPr>
        <w:t>- exempts de dommages dus aux basses températures ou au gel ou d’humidité anormale</w:t>
      </w:r>
    </w:p>
    <w:p w:rsidR="00AC125A" w:rsidRDefault="00AC125A">
      <w:pPr>
        <w:jc w:val="both"/>
        <w:rPr>
          <w:sz w:val="20"/>
        </w:rPr>
      </w:pPr>
      <w:r>
        <w:rPr>
          <w:sz w:val="20"/>
        </w:rPr>
        <w:t>- dépourvus d’odeurs ou de saveurs étrangères</w:t>
      </w:r>
    </w:p>
    <w:p w:rsidR="00AC125A" w:rsidRDefault="00AC125A">
      <w:pPr>
        <w:jc w:val="both"/>
        <w:rPr>
          <w:sz w:val="20"/>
        </w:rPr>
      </w:pPr>
      <w:r>
        <w:rPr>
          <w:sz w:val="20"/>
        </w:rPr>
        <w:t>- suffisamment développés et de maturité suffisante. Cet état doit permettre le cas échéant de supporter transport et manutention et arriver dans des conditions satisfaisantes à destination</w:t>
      </w:r>
    </w:p>
    <w:p w:rsidR="00AC125A" w:rsidRDefault="00AC125A">
      <w:pPr>
        <w:jc w:val="both"/>
        <w:rPr>
          <w:sz w:val="20"/>
        </w:rPr>
      </w:pPr>
      <w:r>
        <w:rPr>
          <w:sz w:val="20"/>
        </w:rPr>
        <w:lastRenderedPageBreak/>
        <w:t>- calibre homogène</w:t>
      </w:r>
    </w:p>
    <w:p w:rsidR="00AC125A" w:rsidRPr="00AC125A" w:rsidRDefault="00AC125A">
      <w:pPr>
        <w:jc w:val="both"/>
        <w:rPr>
          <w:sz w:val="20"/>
        </w:rPr>
      </w:pPr>
      <w:r>
        <w:rPr>
          <w:sz w:val="20"/>
        </w:rPr>
        <w:t>- le conditionnement doit avoir une protection convenable, dans des matériaux neufs et sans nocivité, exempts de tout corps étranger</w:t>
      </w:r>
    </w:p>
    <w:p w:rsidR="00CF28AD" w:rsidRDefault="00CF28AD">
      <w:pPr>
        <w:jc w:val="both"/>
        <w:rPr>
          <w:sz w:val="20"/>
        </w:rPr>
      </w:pPr>
      <w:r>
        <w:rPr>
          <w:sz w:val="20"/>
        </w:rPr>
        <w:t>Les produits livrés ne doivent pas comporter d’OGM. Un</w:t>
      </w:r>
      <w:r w:rsidR="00AC39D4">
        <w:rPr>
          <w:sz w:val="20"/>
        </w:rPr>
        <w:t xml:space="preserve"> certificat attestant la non présence d’OGM devra être fourni à l’établissement. </w:t>
      </w:r>
    </w:p>
    <w:p w:rsidR="002D3F83" w:rsidRPr="00132B55" w:rsidRDefault="00D231C0">
      <w:pPr>
        <w:jc w:val="both"/>
        <w:rPr>
          <w:b/>
          <w:color w:val="FF0000"/>
          <w:sz w:val="20"/>
        </w:rPr>
      </w:pPr>
      <w:r w:rsidRPr="00132B55">
        <w:rPr>
          <w:b/>
          <w:color w:val="FF0000"/>
          <w:sz w:val="20"/>
        </w:rPr>
        <w:t>Le soumissionnaire devra faire preuve d’une offre globale intégrant des produits de l’agriculture raisonnée, de circuits courts et de produits biologiques.</w:t>
      </w:r>
    </w:p>
    <w:p w:rsidR="00CD17BA" w:rsidRPr="004F2392" w:rsidRDefault="00CD17BA">
      <w:pPr>
        <w:jc w:val="both"/>
        <w:rPr>
          <w:b/>
          <w:sz w:val="20"/>
        </w:rPr>
      </w:pPr>
      <w:r>
        <w:rPr>
          <w:sz w:val="20"/>
        </w:rPr>
        <w:t>Afin de sélectionner les deux ou trois titulaires de l’accord-cadre, il est demandé</w:t>
      </w:r>
      <w:r w:rsidR="00847A6F">
        <w:rPr>
          <w:sz w:val="20"/>
        </w:rPr>
        <w:t xml:space="preserve"> aux fournisseurs de remettre </w:t>
      </w:r>
      <w:r>
        <w:rPr>
          <w:sz w:val="20"/>
        </w:rPr>
        <w:t>un dossier relatif à la démarche qualité er de certification dans laquelle l’entreprise est engagée ainsi que le tarif (consenti aux collectivités)</w:t>
      </w:r>
      <w:r w:rsidR="00A81BFF">
        <w:rPr>
          <w:sz w:val="20"/>
        </w:rPr>
        <w:t xml:space="preserve"> des mois de mai</w:t>
      </w:r>
      <w:r w:rsidR="00BA2EC2">
        <w:rPr>
          <w:sz w:val="20"/>
        </w:rPr>
        <w:t xml:space="preserve"> et juin</w:t>
      </w:r>
      <w:r w:rsidR="00A81BFF">
        <w:rPr>
          <w:sz w:val="20"/>
        </w:rPr>
        <w:t xml:space="preserve"> </w:t>
      </w:r>
      <w:r w:rsidR="00A81BFF" w:rsidRPr="00D231C0">
        <w:rPr>
          <w:color w:val="FF0000"/>
          <w:sz w:val="20"/>
        </w:rPr>
        <w:t>20</w:t>
      </w:r>
      <w:r w:rsidR="00BA2EC2">
        <w:rPr>
          <w:color w:val="FF0000"/>
          <w:sz w:val="20"/>
        </w:rPr>
        <w:t>2</w:t>
      </w:r>
      <w:r w:rsidR="00022BD8">
        <w:rPr>
          <w:color w:val="FF0000"/>
          <w:sz w:val="20"/>
        </w:rPr>
        <w:t>4</w:t>
      </w:r>
      <w:r>
        <w:rPr>
          <w:sz w:val="20"/>
        </w:rPr>
        <w:t>. Ce dernier doit comporter les indications obligatoires relatives à l’origine, la catégorie, le classement, le calibre et la variété le cas échéant. En cas d’importation, le pays d’origine doit être précisé.</w:t>
      </w:r>
    </w:p>
    <w:p w:rsidR="00CD17BA" w:rsidRDefault="00CD17BA">
      <w:pPr>
        <w:jc w:val="both"/>
        <w:rPr>
          <w:sz w:val="20"/>
        </w:rPr>
      </w:pPr>
      <w:r w:rsidRPr="004F2392">
        <w:rPr>
          <w:b/>
          <w:sz w:val="20"/>
        </w:rPr>
        <w:t>Les titulaires retenus seront remis en compétition par quinzaine.</w:t>
      </w:r>
      <w:r>
        <w:rPr>
          <w:sz w:val="20"/>
        </w:rPr>
        <w:t xml:space="preserve"> Les commandes seront passées selon les besoins par bons de commande. Ils fourniront par mail (à l’attention du responsable de cuisine) ou par télécopie leur tarif bi-mensuel avant le mardi 14h de la semaine N qui restera valable pour des livraisons allant jusqu’au vendredi de la semaine N+2.</w:t>
      </w:r>
      <w:r w:rsidR="004F2392">
        <w:rPr>
          <w:sz w:val="20"/>
        </w:rPr>
        <w:t xml:space="preserve"> </w:t>
      </w:r>
    </w:p>
    <w:p w:rsidR="00CD17BA" w:rsidRPr="00F61450" w:rsidRDefault="00CD17BA">
      <w:pPr>
        <w:jc w:val="both"/>
        <w:rPr>
          <w:sz w:val="20"/>
        </w:rPr>
      </w:pPr>
    </w:p>
    <w:p w:rsidR="004E5F27" w:rsidRDefault="004E5F27" w:rsidP="008161FF">
      <w:pPr>
        <w:pStyle w:val="Titre5"/>
        <w:pBdr>
          <w:top w:val="single" w:sz="4" w:space="1" w:color="auto"/>
          <w:left w:val="single" w:sz="4" w:space="4" w:color="auto"/>
          <w:bottom w:val="single" w:sz="4" w:space="1" w:color="auto"/>
          <w:right w:val="single" w:sz="4" w:space="4" w:color="auto"/>
        </w:pBdr>
        <w:shd w:val="clear" w:color="auto" w:fill="D6E3BC" w:themeFill="accent3" w:themeFillTint="66"/>
      </w:pPr>
      <w:r>
        <w:t>ARTICLE 3 : DOCUMENTS CONTRACTUELS</w:t>
      </w:r>
    </w:p>
    <w:p w:rsidR="004E5F27" w:rsidRDefault="004E5F27">
      <w:pPr>
        <w:jc w:val="both"/>
        <w:rPr>
          <w:sz w:val="20"/>
        </w:rPr>
      </w:pPr>
    </w:p>
    <w:p w:rsidR="001A2E14" w:rsidRDefault="001A2E14" w:rsidP="001A2E14">
      <w:pPr>
        <w:pStyle w:val="Corpsdetexte2"/>
      </w:pPr>
      <w:r>
        <w:t>Le soumissionnaire utilisera obligatoirement pour son offre le tableau annexé à l’acte d’engagement c’est-à-dire l’offre de prix, auquel il joindra tous documents permettant de vérifier la compétence de l’entreprise dans le domaine.</w:t>
      </w:r>
    </w:p>
    <w:p w:rsidR="004E5F27" w:rsidRDefault="004E5F27">
      <w:pPr>
        <w:jc w:val="both"/>
        <w:rPr>
          <w:sz w:val="20"/>
        </w:rPr>
      </w:pPr>
      <w:r>
        <w:rPr>
          <w:sz w:val="20"/>
        </w:rPr>
        <w:t xml:space="preserve">Le marché est constitué par les documents contractuels énumérés ci-dessous, par </w:t>
      </w:r>
      <w:r>
        <w:rPr>
          <w:b/>
          <w:bCs/>
          <w:sz w:val="20"/>
        </w:rPr>
        <w:t>ordre de priorité décroissante</w:t>
      </w:r>
      <w:r>
        <w:rPr>
          <w:sz w:val="20"/>
        </w:rPr>
        <w:t> :</w:t>
      </w:r>
    </w:p>
    <w:p w:rsidR="004E5F27" w:rsidRDefault="004E5F27">
      <w:pPr>
        <w:jc w:val="both"/>
        <w:rPr>
          <w:sz w:val="20"/>
        </w:rPr>
      </w:pPr>
    </w:p>
    <w:p w:rsidR="004E5F27" w:rsidRDefault="004E5F27">
      <w:pPr>
        <w:numPr>
          <w:ilvl w:val="0"/>
          <w:numId w:val="16"/>
        </w:numPr>
        <w:jc w:val="both"/>
        <w:rPr>
          <w:sz w:val="20"/>
        </w:rPr>
      </w:pPr>
      <w:r>
        <w:rPr>
          <w:sz w:val="20"/>
        </w:rPr>
        <w:t>l’acte d’engagement et l’offre de prix</w:t>
      </w:r>
    </w:p>
    <w:p w:rsidR="004E5F27" w:rsidRDefault="004E5F27">
      <w:pPr>
        <w:numPr>
          <w:ilvl w:val="0"/>
          <w:numId w:val="16"/>
        </w:numPr>
        <w:jc w:val="both"/>
        <w:rPr>
          <w:sz w:val="20"/>
        </w:rPr>
      </w:pPr>
      <w:r>
        <w:rPr>
          <w:sz w:val="20"/>
        </w:rPr>
        <w:t>le présent cahier des clauses particulières</w:t>
      </w:r>
      <w:r w:rsidR="00F64233">
        <w:rPr>
          <w:sz w:val="20"/>
        </w:rPr>
        <w:t xml:space="preserve"> signé par le candidat</w:t>
      </w:r>
    </w:p>
    <w:p w:rsidR="004E5F27" w:rsidRDefault="004E5F27">
      <w:pPr>
        <w:numPr>
          <w:ilvl w:val="0"/>
          <w:numId w:val="16"/>
        </w:numPr>
        <w:jc w:val="both"/>
        <w:rPr>
          <w:sz w:val="20"/>
        </w:rPr>
      </w:pPr>
      <w:r>
        <w:rPr>
          <w:sz w:val="20"/>
        </w:rPr>
        <w:t>le cahier des clauses administratives générales applicable aux marchés publics de fournitures courantes et de services</w:t>
      </w:r>
    </w:p>
    <w:p w:rsidR="002D3F83" w:rsidRPr="004F2392" w:rsidRDefault="004F2392" w:rsidP="002D3F83">
      <w:pPr>
        <w:pStyle w:val="Corpsdetexte3"/>
        <w:numPr>
          <w:ilvl w:val="0"/>
          <w:numId w:val="16"/>
        </w:numPr>
        <w:ind w:left="360"/>
        <w:rPr>
          <w:b/>
          <w:bCs w:val="0"/>
          <w:sz w:val="20"/>
        </w:rPr>
      </w:pPr>
      <w:r w:rsidRPr="004F2392">
        <w:rPr>
          <w:sz w:val="20"/>
          <w:szCs w:val="20"/>
        </w:rPr>
        <w:t xml:space="preserve">Les recommandations </w:t>
      </w:r>
      <w:r>
        <w:rPr>
          <w:sz w:val="20"/>
          <w:szCs w:val="20"/>
        </w:rPr>
        <w:t xml:space="preserve">et normes présents dans le </w:t>
      </w:r>
      <w:r w:rsidRPr="004F2392">
        <w:rPr>
          <w:sz w:val="20"/>
          <w:szCs w:val="20"/>
        </w:rPr>
        <w:t>G</w:t>
      </w:r>
      <w:r w:rsidR="00F236A0" w:rsidRPr="004F2392">
        <w:rPr>
          <w:sz w:val="20"/>
          <w:szCs w:val="20"/>
        </w:rPr>
        <w:t>EM</w:t>
      </w:r>
      <w:r w:rsidRPr="004F2392">
        <w:rPr>
          <w:sz w:val="20"/>
          <w:szCs w:val="20"/>
        </w:rPr>
        <w:t>CRCN de fruits, légumes et pomme de terre à l’état frais d’avril 2012</w:t>
      </w:r>
      <w:r w:rsidR="00F236A0" w:rsidRPr="004F2392">
        <w:rPr>
          <w:sz w:val="20"/>
          <w:szCs w:val="20"/>
        </w:rPr>
        <w:t xml:space="preserve"> </w:t>
      </w:r>
    </w:p>
    <w:p w:rsidR="004F2392" w:rsidRPr="004F2392" w:rsidRDefault="004F2392" w:rsidP="004F2392">
      <w:pPr>
        <w:pStyle w:val="Corpsdetexte3"/>
        <w:ind w:left="360"/>
        <w:rPr>
          <w:b/>
          <w:bCs w:val="0"/>
          <w:sz w:val="20"/>
        </w:rPr>
      </w:pPr>
    </w:p>
    <w:p w:rsidR="004E5F27" w:rsidRPr="002D3F83" w:rsidRDefault="004E5F27" w:rsidP="002D3F83">
      <w:pPr>
        <w:pStyle w:val="Corpsdetexte3"/>
        <w:ind w:left="360"/>
        <w:rPr>
          <w:b/>
          <w:bCs w:val="0"/>
          <w:sz w:val="20"/>
        </w:rPr>
      </w:pPr>
      <w:r w:rsidRPr="002D3F83">
        <w:rPr>
          <w:b/>
          <w:sz w:val="20"/>
        </w:rPr>
        <w:t xml:space="preserve">Les conditions générales de vente figurant, le cas échéant, sur les factures </w:t>
      </w:r>
      <w:r w:rsidR="00692123" w:rsidRPr="002D3F83">
        <w:rPr>
          <w:b/>
          <w:sz w:val="20"/>
        </w:rPr>
        <w:t>du prestataire</w:t>
      </w:r>
      <w:r w:rsidRPr="002D3F83">
        <w:rPr>
          <w:b/>
          <w:sz w:val="20"/>
        </w:rPr>
        <w:t xml:space="preserve"> ne sont pas applicables au présent marché.</w:t>
      </w:r>
    </w:p>
    <w:p w:rsidR="004E5F27" w:rsidRDefault="004E5F27">
      <w:pPr>
        <w:jc w:val="both"/>
        <w:rPr>
          <w:b/>
          <w:bCs/>
          <w:sz w:val="20"/>
        </w:rPr>
      </w:pPr>
    </w:p>
    <w:p w:rsidR="004E5F27" w:rsidRDefault="004E5F27" w:rsidP="008161FF">
      <w:pPr>
        <w:pStyle w:val="Titre5"/>
        <w:pBdr>
          <w:top w:val="single" w:sz="4" w:space="1" w:color="auto"/>
          <w:left w:val="single" w:sz="4" w:space="4" w:color="auto"/>
          <w:bottom w:val="single" w:sz="4" w:space="1" w:color="auto"/>
          <w:right w:val="single" w:sz="4" w:space="4" w:color="auto"/>
        </w:pBdr>
        <w:shd w:val="clear" w:color="auto" w:fill="D6E3BC" w:themeFill="accent3" w:themeFillTint="66"/>
      </w:pPr>
      <w:r>
        <w:t xml:space="preserve">ARTICLE 4 : </w:t>
      </w:r>
      <w:r w:rsidR="009670DD">
        <w:t xml:space="preserve">DATE ET </w:t>
      </w:r>
      <w:r>
        <w:t>DUREE DU MARCHE</w:t>
      </w:r>
    </w:p>
    <w:p w:rsidR="004E5F27" w:rsidRDefault="004E5F27">
      <w:pPr>
        <w:jc w:val="both"/>
        <w:rPr>
          <w:sz w:val="20"/>
        </w:rPr>
      </w:pPr>
    </w:p>
    <w:p w:rsidR="004E5F27" w:rsidRPr="00D231C0" w:rsidRDefault="004E5F27">
      <w:pPr>
        <w:jc w:val="both"/>
        <w:rPr>
          <w:color w:val="FF0000"/>
          <w:sz w:val="20"/>
        </w:rPr>
      </w:pPr>
      <w:r w:rsidRPr="00D231C0">
        <w:rPr>
          <w:b/>
          <w:bCs/>
          <w:color w:val="FF0000"/>
          <w:sz w:val="20"/>
        </w:rPr>
        <w:t>Le présent m</w:t>
      </w:r>
      <w:r w:rsidR="00FD6F1A" w:rsidRPr="00D231C0">
        <w:rPr>
          <w:b/>
          <w:bCs/>
          <w:color w:val="FF0000"/>
          <w:sz w:val="20"/>
        </w:rPr>
        <w:t xml:space="preserve">arché prend effet à </w:t>
      </w:r>
      <w:r w:rsidR="00692123" w:rsidRPr="00D231C0">
        <w:rPr>
          <w:b/>
          <w:bCs/>
          <w:color w:val="FF0000"/>
          <w:sz w:val="20"/>
        </w:rPr>
        <w:t>compter du 1</w:t>
      </w:r>
      <w:r w:rsidR="00692123" w:rsidRPr="00D231C0">
        <w:rPr>
          <w:b/>
          <w:bCs/>
          <w:color w:val="FF0000"/>
          <w:sz w:val="20"/>
          <w:vertAlign w:val="superscript"/>
        </w:rPr>
        <w:t>er</w:t>
      </w:r>
      <w:r w:rsidR="00F72EC6" w:rsidRPr="00D231C0">
        <w:rPr>
          <w:b/>
          <w:bCs/>
          <w:color w:val="FF0000"/>
          <w:sz w:val="20"/>
        </w:rPr>
        <w:t xml:space="preserve"> </w:t>
      </w:r>
      <w:r w:rsidR="00DF4103" w:rsidRPr="00D231C0">
        <w:rPr>
          <w:b/>
          <w:bCs/>
          <w:color w:val="FF0000"/>
          <w:sz w:val="20"/>
        </w:rPr>
        <w:t>ju</w:t>
      </w:r>
      <w:r w:rsidR="000375F5" w:rsidRPr="00D231C0">
        <w:rPr>
          <w:b/>
          <w:bCs/>
          <w:color w:val="FF0000"/>
          <w:sz w:val="20"/>
        </w:rPr>
        <w:t>illet</w:t>
      </w:r>
      <w:r w:rsidR="00BA2EC2">
        <w:rPr>
          <w:b/>
          <w:bCs/>
          <w:color w:val="FF0000"/>
          <w:sz w:val="20"/>
        </w:rPr>
        <w:t xml:space="preserve"> 202</w:t>
      </w:r>
      <w:r w:rsidR="00022BD8">
        <w:rPr>
          <w:b/>
          <w:bCs/>
          <w:color w:val="FF0000"/>
          <w:sz w:val="20"/>
        </w:rPr>
        <w:t>4</w:t>
      </w:r>
      <w:r w:rsidRPr="00D231C0">
        <w:rPr>
          <w:b/>
          <w:bCs/>
          <w:color w:val="FF0000"/>
          <w:sz w:val="20"/>
        </w:rPr>
        <w:t xml:space="preserve"> </w:t>
      </w:r>
      <w:r w:rsidR="00677366" w:rsidRPr="00D231C0">
        <w:rPr>
          <w:color w:val="FF0000"/>
          <w:sz w:val="20"/>
        </w:rPr>
        <w:t>pour une période de 1</w:t>
      </w:r>
      <w:r w:rsidR="000375F5" w:rsidRPr="00D231C0">
        <w:rPr>
          <w:color w:val="FF0000"/>
          <w:sz w:val="20"/>
        </w:rPr>
        <w:t>2</w:t>
      </w:r>
      <w:r w:rsidR="00677366" w:rsidRPr="00D231C0">
        <w:rPr>
          <w:color w:val="FF0000"/>
          <w:sz w:val="20"/>
        </w:rPr>
        <w:t xml:space="preserve"> moi</w:t>
      </w:r>
      <w:r w:rsidR="00DF4103" w:rsidRPr="00D231C0">
        <w:rPr>
          <w:color w:val="FF0000"/>
          <w:sz w:val="20"/>
        </w:rPr>
        <w:t>s soit jusqu’au 31</w:t>
      </w:r>
      <w:r w:rsidR="00C90B2C" w:rsidRPr="00D231C0">
        <w:rPr>
          <w:color w:val="FF0000"/>
          <w:sz w:val="20"/>
        </w:rPr>
        <w:t xml:space="preserve"> </w:t>
      </w:r>
      <w:r w:rsidR="00E46963" w:rsidRPr="00D231C0">
        <w:rPr>
          <w:color w:val="FF0000"/>
          <w:sz w:val="20"/>
        </w:rPr>
        <w:t>juillet 20</w:t>
      </w:r>
      <w:r w:rsidR="00C84742">
        <w:rPr>
          <w:color w:val="FF0000"/>
          <w:sz w:val="20"/>
        </w:rPr>
        <w:t>2</w:t>
      </w:r>
      <w:r w:rsidR="00022BD8">
        <w:rPr>
          <w:color w:val="FF0000"/>
          <w:sz w:val="20"/>
        </w:rPr>
        <w:t>5</w:t>
      </w:r>
      <w:bookmarkStart w:id="0" w:name="_GoBack"/>
      <w:bookmarkEnd w:id="0"/>
      <w:r w:rsidR="00677366" w:rsidRPr="00D231C0">
        <w:rPr>
          <w:color w:val="FF0000"/>
          <w:sz w:val="20"/>
        </w:rPr>
        <w:t>.</w:t>
      </w:r>
    </w:p>
    <w:p w:rsidR="004E5F27" w:rsidRDefault="004E5F27">
      <w:pPr>
        <w:jc w:val="both"/>
        <w:rPr>
          <w:sz w:val="20"/>
        </w:rPr>
      </w:pPr>
    </w:p>
    <w:p w:rsidR="004E5F27" w:rsidRDefault="004E5F27" w:rsidP="008161FF">
      <w:pPr>
        <w:pStyle w:val="Titre5"/>
        <w:pBdr>
          <w:top w:val="single" w:sz="4" w:space="1" w:color="auto"/>
          <w:left w:val="single" w:sz="4" w:space="4" w:color="auto"/>
          <w:bottom w:val="single" w:sz="4" w:space="1" w:color="auto"/>
          <w:right w:val="single" w:sz="4" w:space="4" w:color="auto"/>
        </w:pBdr>
        <w:shd w:val="clear" w:color="auto" w:fill="D6E3BC" w:themeFill="accent3" w:themeFillTint="66"/>
      </w:pPr>
      <w:r>
        <w:t xml:space="preserve">ARTICLE 5 : </w:t>
      </w:r>
      <w:r w:rsidR="00677366">
        <w:t>MODALITE D’EXECUTION DU CONTRAT</w:t>
      </w:r>
    </w:p>
    <w:p w:rsidR="006E62B9" w:rsidRPr="006E62B9" w:rsidRDefault="006E62B9" w:rsidP="006E62B9"/>
    <w:p w:rsidR="00F5472F" w:rsidRDefault="00F5472F" w:rsidP="00F5472F">
      <w:pPr>
        <w:jc w:val="both"/>
        <w:rPr>
          <w:bCs/>
          <w:sz w:val="20"/>
        </w:rPr>
      </w:pPr>
      <w:r>
        <w:rPr>
          <w:bCs/>
          <w:sz w:val="20"/>
        </w:rPr>
        <w:t>Les commandes sont passées au moyen de bons de commandes délivrés comportant :</w:t>
      </w:r>
    </w:p>
    <w:p w:rsidR="00F5472F" w:rsidRDefault="00F5472F" w:rsidP="00F5472F">
      <w:pPr>
        <w:numPr>
          <w:ilvl w:val="0"/>
          <w:numId w:val="23"/>
        </w:numPr>
        <w:jc w:val="both"/>
        <w:rPr>
          <w:bCs/>
          <w:sz w:val="20"/>
        </w:rPr>
      </w:pPr>
      <w:r>
        <w:rPr>
          <w:bCs/>
          <w:sz w:val="20"/>
        </w:rPr>
        <w:t>la référence du marché</w:t>
      </w:r>
    </w:p>
    <w:p w:rsidR="00F5472F" w:rsidRDefault="00F5472F" w:rsidP="00F5472F">
      <w:pPr>
        <w:numPr>
          <w:ilvl w:val="0"/>
          <w:numId w:val="23"/>
        </w:numPr>
        <w:jc w:val="both"/>
        <w:rPr>
          <w:bCs/>
          <w:sz w:val="20"/>
        </w:rPr>
      </w:pPr>
      <w:r>
        <w:rPr>
          <w:bCs/>
          <w:sz w:val="20"/>
        </w:rPr>
        <w:t>la désignation de la fourniture</w:t>
      </w:r>
    </w:p>
    <w:p w:rsidR="00F5472F" w:rsidRDefault="00F5472F" w:rsidP="00F5472F">
      <w:pPr>
        <w:numPr>
          <w:ilvl w:val="0"/>
          <w:numId w:val="23"/>
        </w:numPr>
        <w:jc w:val="both"/>
        <w:rPr>
          <w:bCs/>
          <w:sz w:val="20"/>
        </w:rPr>
      </w:pPr>
      <w:r>
        <w:rPr>
          <w:bCs/>
          <w:sz w:val="20"/>
        </w:rPr>
        <w:t>la quantité demandée</w:t>
      </w:r>
    </w:p>
    <w:p w:rsidR="00F5472F" w:rsidRDefault="00F5472F" w:rsidP="00F5472F">
      <w:pPr>
        <w:numPr>
          <w:ilvl w:val="0"/>
          <w:numId w:val="23"/>
        </w:numPr>
        <w:jc w:val="both"/>
        <w:rPr>
          <w:bCs/>
          <w:sz w:val="20"/>
        </w:rPr>
      </w:pPr>
      <w:r>
        <w:rPr>
          <w:bCs/>
          <w:sz w:val="20"/>
        </w:rPr>
        <w:t>la date de livraison</w:t>
      </w:r>
    </w:p>
    <w:p w:rsidR="00F5472F" w:rsidRDefault="00F5472F" w:rsidP="00F5472F">
      <w:pPr>
        <w:numPr>
          <w:ilvl w:val="0"/>
          <w:numId w:val="23"/>
        </w:numPr>
        <w:jc w:val="both"/>
        <w:rPr>
          <w:bCs/>
          <w:sz w:val="20"/>
        </w:rPr>
      </w:pPr>
      <w:r>
        <w:rPr>
          <w:bCs/>
          <w:sz w:val="20"/>
        </w:rPr>
        <w:t>le prix correspondant</w:t>
      </w:r>
    </w:p>
    <w:p w:rsidR="00F5472F" w:rsidRDefault="00F5472F" w:rsidP="00F5472F">
      <w:pPr>
        <w:numPr>
          <w:ilvl w:val="0"/>
          <w:numId w:val="23"/>
        </w:numPr>
        <w:jc w:val="both"/>
        <w:rPr>
          <w:bCs/>
          <w:sz w:val="20"/>
        </w:rPr>
      </w:pPr>
      <w:r>
        <w:rPr>
          <w:bCs/>
          <w:sz w:val="20"/>
        </w:rPr>
        <w:t>la signature du gestionnaire ou de son représentant.</w:t>
      </w:r>
    </w:p>
    <w:p w:rsidR="00F5472F" w:rsidRDefault="00F5472F" w:rsidP="00F5472F">
      <w:pPr>
        <w:jc w:val="both"/>
        <w:rPr>
          <w:bCs/>
          <w:sz w:val="20"/>
        </w:rPr>
      </w:pPr>
    </w:p>
    <w:p w:rsidR="00F5472F" w:rsidRDefault="00F5472F" w:rsidP="00F5472F">
      <w:pPr>
        <w:jc w:val="both"/>
        <w:rPr>
          <w:bCs/>
          <w:sz w:val="20"/>
        </w:rPr>
      </w:pPr>
      <w:r>
        <w:rPr>
          <w:bCs/>
          <w:sz w:val="20"/>
        </w:rPr>
        <w:t>Au cas où le fournisseur titulaire ne pourrait fournir le produit demandé sur le bon de commande, il doit demander l’accord préalable du service gestionnaire pour remplacer le produit par un autre, sauf si ce dernier est de meilleure qualité que celui référencé au marché. Ce produit échangé sera malgré tout facturé au prix du marché.</w:t>
      </w:r>
    </w:p>
    <w:p w:rsidR="004E5F27" w:rsidRDefault="004E5F27">
      <w:pPr>
        <w:jc w:val="both"/>
        <w:rPr>
          <w:sz w:val="20"/>
        </w:rPr>
      </w:pPr>
    </w:p>
    <w:p w:rsidR="004E5F27" w:rsidRDefault="004E5F27" w:rsidP="008161FF">
      <w:pPr>
        <w:pStyle w:val="Titre5"/>
        <w:pBdr>
          <w:top w:val="single" w:sz="4" w:space="1" w:color="auto"/>
          <w:left w:val="single" w:sz="4" w:space="4" w:color="auto"/>
          <w:bottom w:val="single" w:sz="4" w:space="1" w:color="auto"/>
          <w:right w:val="single" w:sz="4" w:space="4" w:color="auto"/>
        </w:pBdr>
        <w:shd w:val="clear" w:color="auto" w:fill="D6E3BC" w:themeFill="accent3" w:themeFillTint="66"/>
      </w:pPr>
      <w:r>
        <w:t xml:space="preserve">ARTICLE 6 : </w:t>
      </w:r>
      <w:r w:rsidR="00F5472F">
        <w:t>CONDITIONS DE LIVRAISON</w:t>
      </w:r>
    </w:p>
    <w:p w:rsidR="004E5F27" w:rsidRDefault="004E5F27">
      <w:pPr>
        <w:jc w:val="both"/>
        <w:rPr>
          <w:sz w:val="20"/>
        </w:rPr>
      </w:pPr>
    </w:p>
    <w:p w:rsidR="00151A89" w:rsidRDefault="00F5472F" w:rsidP="00F5472F">
      <w:pPr>
        <w:jc w:val="both"/>
        <w:rPr>
          <w:sz w:val="20"/>
        </w:rPr>
      </w:pPr>
      <w:r>
        <w:rPr>
          <w:sz w:val="20"/>
        </w:rPr>
        <w:t>La livraison sera conforme à la commande et effectuée par le titulaire à la date pr</w:t>
      </w:r>
      <w:r w:rsidR="00151A89">
        <w:rPr>
          <w:sz w:val="20"/>
        </w:rPr>
        <w:t>écisée sur le bon de commande</w:t>
      </w:r>
      <w:r>
        <w:rPr>
          <w:sz w:val="20"/>
        </w:rPr>
        <w:t>.</w:t>
      </w:r>
    </w:p>
    <w:p w:rsidR="00151A89" w:rsidRDefault="00151A89" w:rsidP="00F5472F">
      <w:pPr>
        <w:jc w:val="both"/>
        <w:rPr>
          <w:sz w:val="20"/>
        </w:rPr>
      </w:pPr>
      <w:r>
        <w:rPr>
          <w:sz w:val="20"/>
        </w:rPr>
        <w:t>La livraison doit être effective aux jours précisés</w:t>
      </w:r>
      <w:r w:rsidR="004F2392">
        <w:rPr>
          <w:sz w:val="20"/>
        </w:rPr>
        <w:t xml:space="preserve"> (</w:t>
      </w:r>
      <w:r w:rsidR="0035764E">
        <w:rPr>
          <w:sz w:val="20"/>
        </w:rPr>
        <w:t>deux</w:t>
      </w:r>
      <w:r w:rsidR="004F2392">
        <w:rPr>
          <w:sz w:val="20"/>
        </w:rPr>
        <w:t xml:space="preserve"> livraisons </w:t>
      </w:r>
      <w:r w:rsidR="0035764E">
        <w:rPr>
          <w:sz w:val="20"/>
        </w:rPr>
        <w:t>minimum possibles</w:t>
      </w:r>
      <w:r w:rsidR="004F2392">
        <w:rPr>
          <w:sz w:val="20"/>
        </w:rPr>
        <w:t xml:space="preserve"> dans une même semaine)</w:t>
      </w:r>
      <w:r>
        <w:rPr>
          <w:sz w:val="20"/>
        </w:rPr>
        <w:t xml:space="preserve"> </w:t>
      </w:r>
      <w:r w:rsidR="00CC6151">
        <w:rPr>
          <w:sz w:val="20"/>
        </w:rPr>
        <w:t>et</w:t>
      </w:r>
      <w:r w:rsidR="0014563A">
        <w:rPr>
          <w:sz w:val="20"/>
        </w:rPr>
        <w:t xml:space="preserve"> impérativement entre </w:t>
      </w:r>
      <w:r w:rsidR="0014563A" w:rsidRPr="0014563A">
        <w:rPr>
          <w:b/>
          <w:sz w:val="20"/>
        </w:rPr>
        <w:t>6h30 et 9</w:t>
      </w:r>
      <w:r w:rsidRPr="0014563A">
        <w:rPr>
          <w:b/>
          <w:sz w:val="20"/>
        </w:rPr>
        <w:t>h</w:t>
      </w:r>
      <w:r w:rsidR="0014563A" w:rsidRPr="0014563A">
        <w:rPr>
          <w:b/>
          <w:sz w:val="20"/>
        </w:rPr>
        <w:t>30</w:t>
      </w:r>
      <w:r w:rsidRPr="0014563A">
        <w:rPr>
          <w:b/>
          <w:sz w:val="20"/>
        </w:rPr>
        <w:t>.</w:t>
      </w:r>
    </w:p>
    <w:p w:rsidR="00F5472F" w:rsidRDefault="00F5472F" w:rsidP="00F5472F">
      <w:pPr>
        <w:jc w:val="both"/>
        <w:rPr>
          <w:sz w:val="20"/>
        </w:rPr>
      </w:pPr>
      <w:r>
        <w:rPr>
          <w:sz w:val="20"/>
        </w:rPr>
        <w:t>En cas d’impossibilité de livrer à la date prévue, le titulaire en avisera immédiatement l’établissement et fera connaître la nouvelle date de livraison, laquelle devra être exécutée dans un délai tel que tout risque de rupture de stock soit évitée à l’établissement.</w:t>
      </w:r>
    </w:p>
    <w:p w:rsidR="00F5472F" w:rsidRDefault="00F5472F" w:rsidP="00F5472F">
      <w:pPr>
        <w:jc w:val="both"/>
        <w:rPr>
          <w:sz w:val="20"/>
        </w:rPr>
      </w:pPr>
    </w:p>
    <w:p w:rsidR="00F5472F" w:rsidRDefault="00F5472F" w:rsidP="00F5472F">
      <w:pPr>
        <w:jc w:val="both"/>
        <w:rPr>
          <w:sz w:val="20"/>
        </w:rPr>
      </w:pPr>
      <w:r>
        <w:rPr>
          <w:sz w:val="20"/>
        </w:rPr>
        <w:t>Chaque livraison sera effectuée « Franco de Port et d’Emballage </w:t>
      </w:r>
      <w:r w:rsidR="00151A89">
        <w:rPr>
          <w:sz w:val="20"/>
        </w:rPr>
        <w:t>» par les moyens du fournisseur et dans les conditions de sécurité</w:t>
      </w:r>
      <w:r w:rsidR="00CC6151">
        <w:rPr>
          <w:sz w:val="20"/>
        </w:rPr>
        <w:t xml:space="preserve"> alimentaire. </w:t>
      </w:r>
    </w:p>
    <w:p w:rsidR="00F5472F" w:rsidRDefault="00F5472F" w:rsidP="00F5472F">
      <w:pPr>
        <w:jc w:val="both"/>
        <w:rPr>
          <w:sz w:val="20"/>
        </w:rPr>
      </w:pPr>
    </w:p>
    <w:p w:rsidR="00F5472F" w:rsidRDefault="00F5472F" w:rsidP="00F5472F">
      <w:pPr>
        <w:jc w:val="both"/>
        <w:rPr>
          <w:sz w:val="20"/>
        </w:rPr>
      </w:pPr>
      <w:r>
        <w:rPr>
          <w:sz w:val="20"/>
        </w:rPr>
        <w:t>La fourniture livrée sera accompagnée d’un bon de livraison comportant :</w:t>
      </w:r>
    </w:p>
    <w:p w:rsidR="00F5472F" w:rsidRDefault="00F5472F" w:rsidP="00F5472F">
      <w:pPr>
        <w:numPr>
          <w:ilvl w:val="0"/>
          <w:numId w:val="23"/>
        </w:numPr>
        <w:jc w:val="both"/>
        <w:rPr>
          <w:sz w:val="20"/>
        </w:rPr>
      </w:pPr>
      <w:r>
        <w:rPr>
          <w:sz w:val="20"/>
        </w:rPr>
        <w:t>la date de livraison</w:t>
      </w:r>
    </w:p>
    <w:p w:rsidR="00F5472F" w:rsidRDefault="00F5472F" w:rsidP="00F5472F">
      <w:pPr>
        <w:numPr>
          <w:ilvl w:val="0"/>
          <w:numId w:val="23"/>
        </w:numPr>
        <w:jc w:val="both"/>
        <w:rPr>
          <w:sz w:val="20"/>
        </w:rPr>
      </w:pPr>
      <w:r>
        <w:rPr>
          <w:sz w:val="20"/>
        </w:rPr>
        <w:t>la référence de la commande</w:t>
      </w:r>
    </w:p>
    <w:p w:rsidR="00F5472F" w:rsidRDefault="00F5472F" w:rsidP="00F5472F">
      <w:pPr>
        <w:numPr>
          <w:ilvl w:val="0"/>
          <w:numId w:val="23"/>
        </w:numPr>
        <w:jc w:val="both"/>
        <w:rPr>
          <w:sz w:val="20"/>
        </w:rPr>
      </w:pPr>
      <w:r>
        <w:rPr>
          <w:sz w:val="20"/>
        </w:rPr>
        <w:t>l’identification du titulaire</w:t>
      </w:r>
    </w:p>
    <w:p w:rsidR="00F5472F" w:rsidRDefault="00F5472F" w:rsidP="00F5472F">
      <w:pPr>
        <w:numPr>
          <w:ilvl w:val="0"/>
          <w:numId w:val="23"/>
        </w:numPr>
        <w:jc w:val="both"/>
        <w:rPr>
          <w:sz w:val="20"/>
        </w:rPr>
      </w:pPr>
      <w:r>
        <w:rPr>
          <w:sz w:val="20"/>
        </w:rPr>
        <w:t>l’identification de la fourniture livrée</w:t>
      </w:r>
    </w:p>
    <w:p w:rsidR="00F5472F" w:rsidRDefault="00F5472F" w:rsidP="00F5472F">
      <w:pPr>
        <w:numPr>
          <w:ilvl w:val="0"/>
          <w:numId w:val="23"/>
        </w:numPr>
        <w:jc w:val="both"/>
        <w:rPr>
          <w:sz w:val="20"/>
        </w:rPr>
      </w:pPr>
      <w:r>
        <w:rPr>
          <w:sz w:val="20"/>
        </w:rPr>
        <w:t>les prix unitaires HT et TTC et les totaux.</w:t>
      </w:r>
    </w:p>
    <w:p w:rsidR="00F5472F" w:rsidRDefault="00F5472F" w:rsidP="00F5472F">
      <w:pPr>
        <w:jc w:val="both"/>
        <w:rPr>
          <w:sz w:val="20"/>
        </w:rPr>
      </w:pPr>
    </w:p>
    <w:p w:rsidR="00E24CB7" w:rsidRDefault="00E24CB7">
      <w:pPr>
        <w:jc w:val="both"/>
        <w:rPr>
          <w:sz w:val="20"/>
        </w:rPr>
      </w:pPr>
    </w:p>
    <w:p w:rsidR="004E5F27" w:rsidRDefault="00E37103" w:rsidP="008161FF">
      <w:pPr>
        <w:pStyle w:val="Titre5"/>
        <w:pBdr>
          <w:top w:val="single" w:sz="4" w:space="1" w:color="auto"/>
          <w:left w:val="single" w:sz="4" w:space="4" w:color="auto"/>
          <w:bottom w:val="single" w:sz="4" w:space="1" w:color="auto"/>
          <w:right w:val="single" w:sz="4" w:space="4" w:color="auto"/>
        </w:pBdr>
        <w:shd w:val="clear" w:color="auto" w:fill="D6E3BC" w:themeFill="accent3" w:themeFillTint="66"/>
      </w:pPr>
      <w:r>
        <w:t>ARTICLE 7</w:t>
      </w:r>
      <w:r w:rsidR="004E5F27">
        <w:t xml:space="preserve"> : </w:t>
      </w:r>
      <w:r w:rsidR="00E365EC">
        <w:t>SOUS-TRAITANCE</w:t>
      </w:r>
    </w:p>
    <w:p w:rsidR="006E62B9" w:rsidRPr="006E62B9" w:rsidRDefault="006E62B9" w:rsidP="006E62B9"/>
    <w:p w:rsidR="00E365EC" w:rsidRDefault="00E365EC" w:rsidP="00E365EC">
      <w:pPr>
        <w:jc w:val="both"/>
        <w:rPr>
          <w:sz w:val="20"/>
        </w:rPr>
      </w:pPr>
      <w:r>
        <w:rPr>
          <w:sz w:val="20"/>
        </w:rPr>
        <w:t>Le candidat mentionnera le nom du sous-traitant dans son offre initiale. Le titulaire du marché ne pourra en aucun cas transmettre tout ou partie de la prestation à un sous-traitant sans l’accord express de l’établissement (conformément au code des marchés publics), demandé par lettre recommandée avec accusé de réception un mois avant la date prévue pour la sous-traitance.</w:t>
      </w:r>
    </w:p>
    <w:p w:rsidR="00960262" w:rsidRDefault="00960262">
      <w:pPr>
        <w:jc w:val="both"/>
        <w:rPr>
          <w:sz w:val="20"/>
        </w:rPr>
      </w:pPr>
    </w:p>
    <w:p w:rsidR="00E365EC" w:rsidRDefault="00E365EC">
      <w:pPr>
        <w:jc w:val="both"/>
        <w:rPr>
          <w:sz w:val="20"/>
        </w:rPr>
      </w:pPr>
    </w:p>
    <w:p w:rsidR="00E365EC" w:rsidRDefault="00E365EC">
      <w:pPr>
        <w:jc w:val="both"/>
        <w:rPr>
          <w:sz w:val="20"/>
        </w:rPr>
      </w:pPr>
    </w:p>
    <w:p w:rsidR="008F7863" w:rsidRPr="001C7298" w:rsidRDefault="00960262" w:rsidP="00275DEA">
      <w:pPr>
        <w:pBdr>
          <w:top w:val="single" w:sz="4" w:space="1" w:color="auto"/>
          <w:left w:val="single" w:sz="4" w:space="4" w:color="auto"/>
          <w:bottom w:val="single" w:sz="4" w:space="1" w:color="auto"/>
          <w:right w:val="single" w:sz="4" w:space="4" w:color="auto"/>
        </w:pBdr>
        <w:shd w:val="clear" w:color="auto" w:fill="D6E3BC" w:themeFill="accent3" w:themeFillTint="66"/>
        <w:jc w:val="both"/>
        <w:rPr>
          <w:b/>
          <w:sz w:val="20"/>
        </w:rPr>
      </w:pPr>
      <w:r w:rsidRPr="00275DEA">
        <w:rPr>
          <w:b/>
          <w:sz w:val="20"/>
        </w:rPr>
        <w:t xml:space="preserve">ARTICLE 8 : </w:t>
      </w:r>
      <w:r w:rsidR="001C7298" w:rsidRPr="001C7298">
        <w:rPr>
          <w:b/>
          <w:sz w:val="20"/>
        </w:rPr>
        <w:t>OPERATIONS DE VERIFICATION ET D’ADMISSION</w:t>
      </w:r>
    </w:p>
    <w:p w:rsidR="00960262" w:rsidRDefault="00960262">
      <w:pPr>
        <w:jc w:val="both"/>
        <w:rPr>
          <w:sz w:val="20"/>
        </w:rPr>
      </w:pPr>
    </w:p>
    <w:p w:rsidR="001C7298" w:rsidRDefault="001C7298" w:rsidP="001C7298">
      <w:pPr>
        <w:numPr>
          <w:ilvl w:val="0"/>
          <w:numId w:val="13"/>
        </w:numPr>
        <w:jc w:val="both"/>
        <w:rPr>
          <w:sz w:val="20"/>
        </w:rPr>
      </w:pPr>
      <w:r>
        <w:rPr>
          <w:sz w:val="20"/>
        </w:rPr>
        <w:t>Vérification</w:t>
      </w:r>
    </w:p>
    <w:p w:rsidR="001C7298" w:rsidRDefault="001C7298" w:rsidP="001C7298">
      <w:pPr>
        <w:jc w:val="both"/>
        <w:rPr>
          <w:sz w:val="20"/>
        </w:rPr>
      </w:pPr>
      <w:r>
        <w:rPr>
          <w:sz w:val="20"/>
        </w:rPr>
        <w:t>La vérification quantitative et la vérification qualitative seront effectuées sur le lieu de livraison par le gestionnaire ou son représentant, qui peut se faire assister par toute personne de son choix.</w:t>
      </w:r>
    </w:p>
    <w:p w:rsidR="001C7298" w:rsidRDefault="001C7298" w:rsidP="001C7298">
      <w:pPr>
        <w:jc w:val="both"/>
        <w:rPr>
          <w:sz w:val="20"/>
        </w:rPr>
      </w:pPr>
      <w:r>
        <w:rPr>
          <w:sz w:val="20"/>
        </w:rPr>
        <w:t>Toute constatation d’infraction aux lois sur la répression des fraudes aux dépens de l’établissement, entraînera de plein droit la résiliation du marché par le pouvoir adjudicateur sans nécessité de jugement ou d’autres formalités et sans indemnité après avoir invité le titulaire à présenter ses observations dans un délai de 15 jours, l’établissement se réservant le droit de demander réparation du préjudice pouvant en résulter.</w:t>
      </w:r>
    </w:p>
    <w:p w:rsidR="001C7298" w:rsidRDefault="001C7298" w:rsidP="001C7298">
      <w:pPr>
        <w:jc w:val="both"/>
        <w:rPr>
          <w:sz w:val="20"/>
        </w:rPr>
      </w:pPr>
    </w:p>
    <w:p w:rsidR="001C7298" w:rsidRDefault="001C7298" w:rsidP="001C7298">
      <w:pPr>
        <w:numPr>
          <w:ilvl w:val="0"/>
          <w:numId w:val="13"/>
        </w:numPr>
        <w:jc w:val="both"/>
        <w:rPr>
          <w:sz w:val="20"/>
        </w:rPr>
      </w:pPr>
      <w:r>
        <w:rPr>
          <w:sz w:val="20"/>
        </w:rPr>
        <w:t>Fournitures non conforme en qualité</w:t>
      </w:r>
    </w:p>
    <w:p w:rsidR="001C7298" w:rsidRDefault="001C7298" w:rsidP="001C7298">
      <w:pPr>
        <w:ind w:left="720"/>
        <w:jc w:val="both"/>
        <w:rPr>
          <w:sz w:val="20"/>
        </w:rPr>
      </w:pPr>
    </w:p>
    <w:p w:rsidR="001C7298" w:rsidRPr="00605675" w:rsidRDefault="001C7298" w:rsidP="001279D4">
      <w:pPr>
        <w:jc w:val="both"/>
        <w:rPr>
          <w:sz w:val="20"/>
        </w:rPr>
      </w:pPr>
      <w:r w:rsidRPr="00605675">
        <w:rPr>
          <w:sz w:val="20"/>
        </w:rPr>
        <w:t>Si la fourniture ne correspond pas qualitativement aux spécifications du marché ou à la commande, elle est refusée et doit être remplacée par le titulaire du marché, sur demande verbale du gestionnaire de l’établissement ou de son représentant. Toutefois, celui-ci peut s’il le juge opportun, accepter la fourniture avec une réfaction du prix.</w:t>
      </w:r>
    </w:p>
    <w:p w:rsidR="001C7298" w:rsidRDefault="001C7298" w:rsidP="001C7298">
      <w:pPr>
        <w:jc w:val="both"/>
        <w:rPr>
          <w:sz w:val="20"/>
        </w:rPr>
      </w:pPr>
    </w:p>
    <w:p w:rsidR="001C7298" w:rsidRDefault="001C7298" w:rsidP="001C7298">
      <w:pPr>
        <w:numPr>
          <w:ilvl w:val="0"/>
          <w:numId w:val="13"/>
        </w:numPr>
        <w:jc w:val="both"/>
        <w:rPr>
          <w:sz w:val="20"/>
        </w:rPr>
      </w:pPr>
      <w:r>
        <w:rPr>
          <w:sz w:val="20"/>
        </w:rPr>
        <w:t>Fourniture non conforme en quantité</w:t>
      </w:r>
    </w:p>
    <w:p w:rsidR="001C7298" w:rsidRDefault="001C7298" w:rsidP="001C7298">
      <w:pPr>
        <w:jc w:val="both"/>
        <w:rPr>
          <w:sz w:val="20"/>
        </w:rPr>
      </w:pPr>
    </w:p>
    <w:p w:rsidR="001C7298" w:rsidRDefault="001C7298" w:rsidP="001C7298">
      <w:pPr>
        <w:jc w:val="both"/>
        <w:rPr>
          <w:sz w:val="20"/>
        </w:rPr>
      </w:pPr>
      <w:r>
        <w:rPr>
          <w:sz w:val="20"/>
        </w:rPr>
        <w:t>Si la quantité livrée n’est pas conforme, l</w:t>
      </w:r>
      <w:r w:rsidR="00CC6151">
        <w:rPr>
          <w:sz w:val="20"/>
        </w:rPr>
        <w:t>’établissement</w:t>
      </w:r>
      <w:r>
        <w:rPr>
          <w:sz w:val="20"/>
        </w:rPr>
        <w:t xml:space="preserve"> peut, soit refuser l’excédent si la livraison dépasse la commande, soit mettre le titulaire en demeure de compléter la livraison dans les délais qui lui sont prescrits, à concurrence de la quantité totale prévue par le bon de commande.</w:t>
      </w:r>
    </w:p>
    <w:p w:rsidR="001C7298" w:rsidRDefault="001C7298" w:rsidP="001C7298">
      <w:pPr>
        <w:jc w:val="both"/>
        <w:rPr>
          <w:sz w:val="20"/>
        </w:rPr>
      </w:pPr>
      <w:r>
        <w:rPr>
          <w:sz w:val="20"/>
        </w:rPr>
        <w:t>En cas de non conformité entre la fourniture livrée et le bulletin de livraison, ledit bulletin et son duplicata sont rectifiés sous la signature des deux parties ou de leurs représentants.</w:t>
      </w:r>
    </w:p>
    <w:p w:rsidR="001C7298" w:rsidRDefault="001C7298" w:rsidP="001C7298">
      <w:pPr>
        <w:jc w:val="both"/>
        <w:rPr>
          <w:sz w:val="20"/>
        </w:rPr>
      </w:pPr>
    </w:p>
    <w:p w:rsidR="001C7298" w:rsidRDefault="001C7298" w:rsidP="001C7298">
      <w:pPr>
        <w:numPr>
          <w:ilvl w:val="0"/>
          <w:numId w:val="13"/>
        </w:numPr>
        <w:jc w:val="both"/>
        <w:rPr>
          <w:sz w:val="20"/>
        </w:rPr>
      </w:pPr>
      <w:r>
        <w:rPr>
          <w:sz w:val="20"/>
        </w:rPr>
        <w:t xml:space="preserve">Admission </w:t>
      </w:r>
    </w:p>
    <w:p w:rsidR="001C7298" w:rsidRDefault="001C7298" w:rsidP="001C7298">
      <w:pPr>
        <w:jc w:val="both"/>
        <w:rPr>
          <w:sz w:val="20"/>
        </w:rPr>
      </w:pPr>
    </w:p>
    <w:p w:rsidR="001C7298" w:rsidRDefault="001C7298" w:rsidP="001C7298">
      <w:pPr>
        <w:jc w:val="both"/>
        <w:rPr>
          <w:sz w:val="20"/>
        </w:rPr>
      </w:pPr>
      <w:r>
        <w:rPr>
          <w:sz w:val="20"/>
        </w:rPr>
        <w:t>Si le résultat des vérifications est satisfaisant, l’admission est prononcée séance tenante par le gestionnaire de l’établissement ou de son représentant sous réserve de vices cachés. L’admission est matérialisée par le visa ou cachet apposé par l’</w:t>
      </w:r>
      <w:r w:rsidR="00CC6151">
        <w:rPr>
          <w:sz w:val="20"/>
        </w:rPr>
        <w:t>établissement</w:t>
      </w:r>
      <w:r>
        <w:rPr>
          <w:sz w:val="20"/>
        </w:rPr>
        <w:t xml:space="preserve"> sur le bulletin de livraison.</w:t>
      </w:r>
    </w:p>
    <w:p w:rsidR="001C7298" w:rsidRDefault="001C7298" w:rsidP="001C7298">
      <w:pPr>
        <w:jc w:val="both"/>
        <w:rPr>
          <w:sz w:val="20"/>
        </w:rPr>
      </w:pPr>
    </w:p>
    <w:p w:rsidR="001C7298" w:rsidRPr="001C7298" w:rsidRDefault="001C7298" w:rsidP="001C7298">
      <w:pPr>
        <w:pBdr>
          <w:top w:val="single" w:sz="4" w:space="1" w:color="auto"/>
          <w:left w:val="single" w:sz="4" w:space="4" w:color="auto"/>
          <w:bottom w:val="single" w:sz="4" w:space="1" w:color="auto"/>
          <w:right w:val="single" w:sz="4" w:space="4" w:color="auto"/>
        </w:pBdr>
        <w:shd w:val="clear" w:color="auto" w:fill="D6E3BC" w:themeFill="accent3" w:themeFillTint="66"/>
        <w:jc w:val="both"/>
        <w:rPr>
          <w:b/>
          <w:sz w:val="20"/>
        </w:rPr>
      </w:pPr>
      <w:r w:rsidRPr="00275DEA">
        <w:rPr>
          <w:b/>
          <w:sz w:val="20"/>
        </w:rPr>
        <w:t xml:space="preserve">ARTICLE </w:t>
      </w:r>
      <w:r w:rsidR="00CA3364">
        <w:rPr>
          <w:b/>
          <w:sz w:val="20"/>
        </w:rPr>
        <w:t>9</w:t>
      </w:r>
      <w:r w:rsidRPr="00275DEA">
        <w:rPr>
          <w:b/>
          <w:sz w:val="20"/>
        </w:rPr>
        <w:t xml:space="preserve"> : </w:t>
      </w:r>
      <w:r w:rsidRPr="001C7298">
        <w:rPr>
          <w:b/>
          <w:sz w:val="20"/>
        </w:rPr>
        <w:t>GARANTIE</w:t>
      </w:r>
    </w:p>
    <w:p w:rsidR="001C7298" w:rsidRDefault="001C7298" w:rsidP="001C7298">
      <w:pPr>
        <w:jc w:val="both"/>
        <w:rPr>
          <w:sz w:val="20"/>
        </w:rPr>
      </w:pPr>
    </w:p>
    <w:p w:rsidR="001C7298" w:rsidRDefault="001C7298" w:rsidP="001C7298">
      <w:pPr>
        <w:jc w:val="both"/>
        <w:rPr>
          <w:sz w:val="20"/>
        </w:rPr>
      </w:pPr>
      <w:r>
        <w:rPr>
          <w:sz w:val="20"/>
        </w:rPr>
        <w:t>La fourniture est garantie par le titulaire contre tout vice caché, c’est-à-dire non apparent à première vue à l’instant de livraison. En cas de vice caché, la fourniture sera remplacée sans frais par le titulaire.</w:t>
      </w:r>
    </w:p>
    <w:p w:rsidR="001C7298" w:rsidRDefault="001C7298">
      <w:pPr>
        <w:jc w:val="both"/>
        <w:rPr>
          <w:sz w:val="20"/>
        </w:rPr>
      </w:pPr>
    </w:p>
    <w:p w:rsidR="004E5F27" w:rsidRDefault="00CA3364" w:rsidP="00275DEA">
      <w:pPr>
        <w:pStyle w:val="Titre5"/>
        <w:pBdr>
          <w:top w:val="single" w:sz="4" w:space="1" w:color="auto"/>
          <w:left w:val="single" w:sz="4" w:space="4" w:color="auto"/>
          <w:bottom w:val="single" w:sz="4" w:space="1" w:color="auto"/>
          <w:right w:val="single" w:sz="4" w:space="4" w:color="auto"/>
        </w:pBdr>
        <w:shd w:val="clear" w:color="auto" w:fill="D6E3BC" w:themeFill="accent3" w:themeFillTint="66"/>
      </w:pPr>
      <w:r>
        <w:t>ARTICLE 10</w:t>
      </w:r>
      <w:r w:rsidR="004E5F27">
        <w:t xml:space="preserve"> : </w:t>
      </w:r>
      <w:r w:rsidR="00D253CB">
        <w:t>CONDITIONS FINANCIERES</w:t>
      </w:r>
    </w:p>
    <w:p w:rsidR="0036244F" w:rsidRDefault="0036244F" w:rsidP="0036244F">
      <w:pPr>
        <w:jc w:val="both"/>
        <w:rPr>
          <w:b/>
          <w:sz w:val="20"/>
        </w:rPr>
      </w:pPr>
    </w:p>
    <w:p w:rsidR="004E5F27" w:rsidRDefault="00CA3364" w:rsidP="0036244F">
      <w:pPr>
        <w:jc w:val="both"/>
        <w:rPr>
          <w:b/>
          <w:sz w:val="20"/>
        </w:rPr>
      </w:pPr>
      <w:r>
        <w:rPr>
          <w:b/>
          <w:sz w:val="20"/>
        </w:rPr>
        <w:t>10</w:t>
      </w:r>
      <w:r w:rsidR="00D253CB" w:rsidRPr="00275DEA">
        <w:rPr>
          <w:b/>
          <w:sz w:val="20"/>
        </w:rPr>
        <w:t>.1 – Prix de base initial</w:t>
      </w:r>
    </w:p>
    <w:p w:rsidR="00CD17BA" w:rsidRPr="00275DEA" w:rsidRDefault="00CD17BA" w:rsidP="0036244F">
      <w:pPr>
        <w:jc w:val="both"/>
        <w:rPr>
          <w:b/>
          <w:sz w:val="20"/>
        </w:rPr>
      </w:pPr>
    </w:p>
    <w:p w:rsidR="001C7298" w:rsidRPr="00CC6151" w:rsidRDefault="001C7298" w:rsidP="001C7298">
      <w:pPr>
        <w:jc w:val="both"/>
        <w:rPr>
          <w:sz w:val="20"/>
          <w:u w:val="single"/>
        </w:rPr>
      </w:pPr>
      <w:r w:rsidRPr="00CC6151">
        <w:rPr>
          <w:sz w:val="20"/>
          <w:u w:val="single"/>
        </w:rPr>
        <w:t>Les prix s’entendent marchandises rendues franco de port et d’emballage.</w:t>
      </w:r>
    </w:p>
    <w:p w:rsidR="001C7298" w:rsidRDefault="001C7298" w:rsidP="001C7298">
      <w:pPr>
        <w:jc w:val="both"/>
        <w:rPr>
          <w:sz w:val="20"/>
        </w:rPr>
      </w:pPr>
      <w:r>
        <w:rPr>
          <w:sz w:val="20"/>
        </w:rPr>
        <w:t xml:space="preserve">Le fournisseur s’engage à ne pratiquer </w:t>
      </w:r>
      <w:r w:rsidRPr="00CC6151">
        <w:rPr>
          <w:sz w:val="20"/>
          <w:u w:val="single"/>
        </w:rPr>
        <w:t>aucun minimum de commandes</w:t>
      </w:r>
      <w:r>
        <w:rPr>
          <w:sz w:val="20"/>
        </w:rPr>
        <w:t>.</w:t>
      </w:r>
    </w:p>
    <w:p w:rsidR="00CD17BA" w:rsidRDefault="001C7298" w:rsidP="001C7298">
      <w:pPr>
        <w:jc w:val="both"/>
        <w:rPr>
          <w:sz w:val="20"/>
        </w:rPr>
      </w:pPr>
      <w:r>
        <w:rPr>
          <w:sz w:val="20"/>
        </w:rPr>
        <w:t>Les prix sont fermes et exprimés en euros</w:t>
      </w:r>
      <w:r w:rsidR="00CD17BA">
        <w:rPr>
          <w:sz w:val="20"/>
        </w:rPr>
        <w:t xml:space="preserve"> pour la période de référence</w:t>
      </w:r>
      <w:r>
        <w:rPr>
          <w:sz w:val="20"/>
        </w:rPr>
        <w:t>. Ils résultent de l’application des prix unitaires portés sur l’offre du fournisseur retenu</w:t>
      </w:r>
      <w:r w:rsidR="00CD17BA">
        <w:rPr>
          <w:sz w:val="20"/>
        </w:rPr>
        <w:t xml:space="preserve"> lors de la remise en concurrence par quinzaine</w:t>
      </w:r>
      <w:r>
        <w:rPr>
          <w:sz w:val="20"/>
        </w:rPr>
        <w:t>.</w:t>
      </w:r>
      <w:r w:rsidR="004F2392">
        <w:rPr>
          <w:sz w:val="20"/>
        </w:rPr>
        <w:t xml:space="preserve"> Les prix ne sont pas variables pendant la quinzaine.</w:t>
      </w:r>
    </w:p>
    <w:p w:rsidR="001C7298" w:rsidRDefault="001C7298" w:rsidP="001C7298">
      <w:pPr>
        <w:jc w:val="both"/>
        <w:rPr>
          <w:sz w:val="20"/>
        </w:rPr>
      </w:pPr>
      <w:r w:rsidRPr="00CC6151">
        <w:rPr>
          <w:b/>
          <w:i/>
          <w:sz w:val="20"/>
          <w:u w:val="single"/>
        </w:rPr>
        <w:lastRenderedPageBreak/>
        <w:t>Toutefois si pour des raisons d’offres promotionnelles, lors d’une commande passée par la collectivité, les prix unitaires proposés par le fournisseur s’avéraient inférieur au prix figurant sur les bordereaux des prix, le fournisseur ferait bénéficier automatiquement la collectivité de cette offre promotionnelle</w:t>
      </w:r>
      <w:r>
        <w:rPr>
          <w:sz w:val="20"/>
        </w:rPr>
        <w:t>.</w:t>
      </w:r>
    </w:p>
    <w:p w:rsidR="001C7298" w:rsidRDefault="001C7298" w:rsidP="001C7298">
      <w:pPr>
        <w:jc w:val="both"/>
        <w:rPr>
          <w:sz w:val="20"/>
        </w:rPr>
      </w:pPr>
    </w:p>
    <w:p w:rsidR="005C4CE3" w:rsidRPr="00275DEA" w:rsidRDefault="00CA3364" w:rsidP="0036244F">
      <w:pPr>
        <w:jc w:val="both"/>
        <w:rPr>
          <w:b/>
          <w:sz w:val="20"/>
        </w:rPr>
      </w:pPr>
      <w:r>
        <w:rPr>
          <w:b/>
          <w:sz w:val="20"/>
        </w:rPr>
        <w:t>10</w:t>
      </w:r>
      <w:r w:rsidR="005C4CE3" w:rsidRPr="00275DEA">
        <w:rPr>
          <w:b/>
          <w:sz w:val="20"/>
        </w:rPr>
        <w:t>.</w:t>
      </w:r>
      <w:r w:rsidR="001C7298">
        <w:rPr>
          <w:b/>
          <w:sz w:val="20"/>
        </w:rPr>
        <w:t>2</w:t>
      </w:r>
      <w:r w:rsidR="005C4CE3" w:rsidRPr="00275DEA">
        <w:rPr>
          <w:b/>
          <w:sz w:val="20"/>
        </w:rPr>
        <w:t xml:space="preserve"> – Paiements </w:t>
      </w:r>
    </w:p>
    <w:p w:rsidR="004E5F27" w:rsidRDefault="008161FF">
      <w:pPr>
        <w:jc w:val="both"/>
        <w:rPr>
          <w:sz w:val="20"/>
        </w:rPr>
      </w:pPr>
      <w:r>
        <w:rPr>
          <w:sz w:val="20"/>
        </w:rPr>
        <w:t>L’</w:t>
      </w:r>
      <w:r w:rsidR="004E5F27">
        <w:rPr>
          <w:sz w:val="20"/>
        </w:rPr>
        <w:t>unité monétaire de paiement est l’Euro.</w:t>
      </w:r>
    </w:p>
    <w:p w:rsidR="004E5F27" w:rsidRDefault="004E5F27">
      <w:pPr>
        <w:jc w:val="both"/>
        <w:rPr>
          <w:sz w:val="20"/>
        </w:rPr>
      </w:pPr>
      <w:r>
        <w:rPr>
          <w:sz w:val="20"/>
        </w:rPr>
        <w:t xml:space="preserve">Le paiement s’effectue par mandat administratif selon les règles de la Comptabilité Publique, sur présentation des factures transmises </w:t>
      </w:r>
      <w:r w:rsidR="00B46A9D">
        <w:rPr>
          <w:sz w:val="20"/>
        </w:rPr>
        <w:t xml:space="preserve">ou déposées sur la plateforme CHORUSPRO </w:t>
      </w:r>
      <w:r>
        <w:rPr>
          <w:sz w:val="20"/>
        </w:rPr>
        <w:t xml:space="preserve">par le prestataire. </w:t>
      </w:r>
    </w:p>
    <w:p w:rsidR="004E5F27" w:rsidRDefault="004E5F27">
      <w:pPr>
        <w:jc w:val="both"/>
        <w:rPr>
          <w:sz w:val="20"/>
        </w:rPr>
      </w:pPr>
      <w:r>
        <w:rPr>
          <w:sz w:val="20"/>
        </w:rPr>
        <w:t>Les factures afférentes au paiement seront établies en un original et 2 copies</w:t>
      </w:r>
      <w:r w:rsidR="00B46A9D">
        <w:rPr>
          <w:sz w:val="20"/>
        </w:rPr>
        <w:t xml:space="preserve"> (hors procédure dématérialisée)</w:t>
      </w:r>
      <w:r>
        <w:rPr>
          <w:sz w:val="20"/>
        </w:rPr>
        <w:t>, portant, outre les mentions légales, les indications suivantes :</w:t>
      </w:r>
    </w:p>
    <w:p w:rsidR="004E5F27" w:rsidRDefault="004E5F27">
      <w:pPr>
        <w:numPr>
          <w:ilvl w:val="0"/>
          <w:numId w:val="11"/>
        </w:numPr>
        <w:jc w:val="both"/>
        <w:rPr>
          <w:sz w:val="20"/>
        </w:rPr>
      </w:pPr>
      <w:r>
        <w:rPr>
          <w:sz w:val="20"/>
        </w:rPr>
        <w:t>nom et adresse du prestataire</w:t>
      </w:r>
    </w:p>
    <w:p w:rsidR="004E5F27" w:rsidRDefault="004E5F27">
      <w:pPr>
        <w:numPr>
          <w:ilvl w:val="0"/>
          <w:numId w:val="11"/>
        </w:numPr>
        <w:jc w:val="both"/>
        <w:rPr>
          <w:sz w:val="20"/>
        </w:rPr>
      </w:pPr>
      <w:r>
        <w:rPr>
          <w:sz w:val="20"/>
        </w:rPr>
        <w:t>numéro de son compte bancaire ou postal tel qu’il est précisé sur l’annexe de l’acte d’engagement</w:t>
      </w:r>
    </w:p>
    <w:p w:rsidR="004E5F27" w:rsidRDefault="004E5F27">
      <w:pPr>
        <w:numPr>
          <w:ilvl w:val="0"/>
          <w:numId w:val="11"/>
        </w:numPr>
        <w:jc w:val="both"/>
        <w:rPr>
          <w:sz w:val="20"/>
        </w:rPr>
      </w:pPr>
      <w:r>
        <w:rPr>
          <w:sz w:val="20"/>
        </w:rPr>
        <w:t xml:space="preserve">références précises des </w:t>
      </w:r>
      <w:r w:rsidR="008161FF">
        <w:rPr>
          <w:sz w:val="20"/>
        </w:rPr>
        <w:t>prestations</w:t>
      </w:r>
      <w:r>
        <w:rPr>
          <w:sz w:val="20"/>
        </w:rPr>
        <w:t xml:space="preserve"> facturées</w:t>
      </w:r>
    </w:p>
    <w:p w:rsidR="004E5F27" w:rsidRDefault="004E5F27">
      <w:pPr>
        <w:numPr>
          <w:ilvl w:val="0"/>
          <w:numId w:val="11"/>
        </w:numPr>
        <w:jc w:val="both"/>
        <w:rPr>
          <w:sz w:val="20"/>
        </w:rPr>
      </w:pPr>
      <w:r>
        <w:rPr>
          <w:sz w:val="20"/>
        </w:rPr>
        <w:t>montant hors TVA</w:t>
      </w:r>
    </w:p>
    <w:p w:rsidR="004E5F27" w:rsidRDefault="004E5F27">
      <w:pPr>
        <w:numPr>
          <w:ilvl w:val="0"/>
          <w:numId w:val="11"/>
        </w:numPr>
        <w:jc w:val="both"/>
        <w:rPr>
          <w:sz w:val="20"/>
        </w:rPr>
      </w:pPr>
      <w:r>
        <w:rPr>
          <w:sz w:val="20"/>
        </w:rPr>
        <w:t xml:space="preserve">taux et montant de </w:t>
      </w:r>
      <w:smartTag w:uri="urn:schemas-microsoft-com:office:smarttags" w:element="PersonName">
        <w:smartTagPr>
          <w:attr w:name="ProductID" w:val="la TVA"/>
        </w:smartTagPr>
        <w:r>
          <w:rPr>
            <w:sz w:val="20"/>
          </w:rPr>
          <w:t>la TVA</w:t>
        </w:r>
      </w:smartTag>
    </w:p>
    <w:p w:rsidR="004E5F27" w:rsidRDefault="004E5F27">
      <w:pPr>
        <w:numPr>
          <w:ilvl w:val="0"/>
          <w:numId w:val="11"/>
        </w:numPr>
        <w:jc w:val="both"/>
        <w:rPr>
          <w:sz w:val="20"/>
        </w:rPr>
      </w:pPr>
      <w:r>
        <w:rPr>
          <w:sz w:val="20"/>
        </w:rPr>
        <w:t xml:space="preserve">montant total TTC </w:t>
      </w:r>
    </w:p>
    <w:p w:rsidR="004E5F27" w:rsidRDefault="004E5F27">
      <w:pPr>
        <w:ind w:left="360"/>
        <w:jc w:val="both"/>
        <w:rPr>
          <w:sz w:val="20"/>
        </w:rPr>
      </w:pPr>
    </w:p>
    <w:p w:rsidR="004E5F27" w:rsidRDefault="008161FF">
      <w:pPr>
        <w:jc w:val="both"/>
        <w:rPr>
          <w:sz w:val="20"/>
        </w:rPr>
      </w:pPr>
      <w:r>
        <w:rPr>
          <w:sz w:val="20"/>
        </w:rPr>
        <w:t>Les règles de la comptabilité publique s’appliquent conc</w:t>
      </w:r>
      <w:r w:rsidR="00314F0C">
        <w:rPr>
          <w:sz w:val="20"/>
        </w:rPr>
        <w:t xml:space="preserve">ernant les délais de paiement. </w:t>
      </w:r>
      <w:r>
        <w:rPr>
          <w:sz w:val="20"/>
        </w:rPr>
        <w:t xml:space="preserve">Pour tout ce qui concerne le mandatement, le paiement ainsi que les conditions financières, se référer au CCAG Fournitures Courantes et Services, article </w:t>
      </w:r>
      <w:r w:rsidR="00B57F17">
        <w:rPr>
          <w:sz w:val="20"/>
        </w:rPr>
        <w:t>11</w:t>
      </w:r>
      <w:r>
        <w:rPr>
          <w:sz w:val="20"/>
        </w:rPr>
        <w:t>, et aux règles de la comptabilité publique en vigueur.</w:t>
      </w:r>
    </w:p>
    <w:p w:rsidR="00CC6151" w:rsidRDefault="00CC6151">
      <w:pPr>
        <w:jc w:val="both"/>
        <w:rPr>
          <w:sz w:val="20"/>
        </w:rPr>
      </w:pPr>
    </w:p>
    <w:p w:rsidR="00CA3364" w:rsidRPr="00CA3364" w:rsidRDefault="00CA3364" w:rsidP="00CA3364">
      <w:pPr>
        <w:jc w:val="both"/>
        <w:rPr>
          <w:b/>
          <w:sz w:val="20"/>
        </w:rPr>
      </w:pPr>
      <w:r>
        <w:rPr>
          <w:b/>
          <w:sz w:val="20"/>
        </w:rPr>
        <w:t xml:space="preserve">10.3 – Pénalités </w:t>
      </w:r>
    </w:p>
    <w:p w:rsidR="00CA3364" w:rsidRDefault="00CA3364" w:rsidP="00CA3364">
      <w:pPr>
        <w:jc w:val="both"/>
        <w:rPr>
          <w:sz w:val="20"/>
        </w:rPr>
      </w:pPr>
    </w:p>
    <w:p w:rsidR="00CA3364" w:rsidRDefault="00CA3364" w:rsidP="00CA3364">
      <w:pPr>
        <w:jc w:val="both"/>
        <w:rPr>
          <w:sz w:val="20"/>
        </w:rPr>
      </w:pPr>
      <w:r>
        <w:rPr>
          <w:sz w:val="20"/>
        </w:rPr>
        <w:t xml:space="preserve">Il n’y aura pas de pénalités de retard mais exécution par défaut aux frais et risques du titulaire. Ainsi l’établissement se réserve le droit de s’approvisionner là où il le juge convenable du seul fait du retard ou refus de livraison. </w:t>
      </w:r>
    </w:p>
    <w:p w:rsidR="00CA3364" w:rsidRDefault="00CA3364" w:rsidP="00CA3364">
      <w:pPr>
        <w:jc w:val="both"/>
        <w:rPr>
          <w:sz w:val="20"/>
        </w:rPr>
      </w:pPr>
      <w:r>
        <w:rPr>
          <w:sz w:val="20"/>
        </w:rPr>
        <w:t>Au cas où il en résulterait une différence de prix au détriment de l’établissement, cette différence est mise de plein droit à la charge du titulaire et imputée d’office sur le montant effectué à son profit.</w:t>
      </w:r>
    </w:p>
    <w:p w:rsidR="00CA3364" w:rsidRDefault="00CA3364" w:rsidP="00CA3364">
      <w:pPr>
        <w:jc w:val="both"/>
        <w:rPr>
          <w:sz w:val="20"/>
        </w:rPr>
      </w:pPr>
    </w:p>
    <w:p w:rsidR="00CA3364" w:rsidRPr="00CA3364" w:rsidRDefault="00CA3364" w:rsidP="00CA3364">
      <w:pPr>
        <w:jc w:val="both"/>
        <w:rPr>
          <w:b/>
          <w:sz w:val="20"/>
        </w:rPr>
      </w:pPr>
      <w:r>
        <w:rPr>
          <w:b/>
          <w:sz w:val="20"/>
        </w:rPr>
        <w:t xml:space="preserve">10.4 - </w:t>
      </w:r>
      <w:r w:rsidRPr="00CA3364">
        <w:rPr>
          <w:b/>
          <w:sz w:val="20"/>
        </w:rPr>
        <w:t xml:space="preserve"> </w:t>
      </w:r>
      <w:r>
        <w:rPr>
          <w:b/>
          <w:sz w:val="20"/>
        </w:rPr>
        <w:t>Retrait et résiliation</w:t>
      </w:r>
    </w:p>
    <w:p w:rsidR="00CA3364" w:rsidRDefault="00CA3364" w:rsidP="00CA3364">
      <w:pPr>
        <w:jc w:val="both"/>
        <w:rPr>
          <w:sz w:val="20"/>
        </w:rPr>
      </w:pPr>
      <w:r>
        <w:rPr>
          <w:sz w:val="20"/>
        </w:rPr>
        <w:t>En cas d’infractions caractérisées aux clauses contractuelles, la personne responsable peut résilier le marché sans indemnité, après avoir invité le titulaire à présenter ses observations dans un délai de quinze jours.</w:t>
      </w:r>
    </w:p>
    <w:p w:rsidR="00CA3364" w:rsidRDefault="00CA3364">
      <w:pPr>
        <w:jc w:val="both"/>
        <w:rPr>
          <w:sz w:val="20"/>
        </w:rPr>
      </w:pPr>
    </w:p>
    <w:p w:rsidR="008161FF" w:rsidRDefault="008161FF">
      <w:pPr>
        <w:jc w:val="both"/>
        <w:rPr>
          <w:sz w:val="20"/>
        </w:rPr>
      </w:pPr>
    </w:p>
    <w:p w:rsidR="008161FF" w:rsidRPr="00275DEA" w:rsidRDefault="00CA3364" w:rsidP="00275DEA">
      <w:pPr>
        <w:pBdr>
          <w:top w:val="single" w:sz="4" w:space="1" w:color="auto"/>
          <w:left w:val="single" w:sz="4" w:space="4" w:color="auto"/>
          <w:bottom w:val="single" w:sz="4" w:space="1" w:color="auto"/>
          <w:right w:val="single" w:sz="4" w:space="4" w:color="auto"/>
        </w:pBdr>
        <w:shd w:val="clear" w:color="auto" w:fill="D6E3BC" w:themeFill="accent3" w:themeFillTint="66"/>
        <w:jc w:val="both"/>
        <w:rPr>
          <w:b/>
          <w:sz w:val="20"/>
        </w:rPr>
      </w:pPr>
      <w:r>
        <w:rPr>
          <w:b/>
          <w:sz w:val="20"/>
        </w:rPr>
        <w:t>ARTICLE 11</w:t>
      </w:r>
      <w:r w:rsidR="008161FF" w:rsidRPr="00275DEA">
        <w:rPr>
          <w:b/>
          <w:sz w:val="20"/>
        </w:rPr>
        <w:t xml:space="preserve"> : </w:t>
      </w:r>
      <w:r w:rsidR="001C7298">
        <w:rPr>
          <w:b/>
          <w:sz w:val="20"/>
        </w:rPr>
        <w:t>ECHANTILLONS</w:t>
      </w:r>
    </w:p>
    <w:p w:rsidR="0036244F" w:rsidRDefault="0036244F">
      <w:pPr>
        <w:jc w:val="both"/>
        <w:rPr>
          <w:sz w:val="20"/>
        </w:rPr>
      </w:pPr>
    </w:p>
    <w:p w:rsidR="004E5F27" w:rsidRPr="00A146F4" w:rsidRDefault="00E95481">
      <w:pPr>
        <w:jc w:val="both"/>
        <w:rPr>
          <w:i/>
          <w:sz w:val="20"/>
        </w:rPr>
      </w:pPr>
      <w:r>
        <w:rPr>
          <w:sz w:val="20"/>
        </w:rPr>
        <w:t>Pas d’échantillon à fournir.</w:t>
      </w:r>
    </w:p>
    <w:p w:rsidR="004E5F27" w:rsidRDefault="004E5F27">
      <w:pPr>
        <w:ind w:left="360"/>
        <w:jc w:val="both"/>
        <w:rPr>
          <w:sz w:val="20"/>
        </w:rPr>
      </w:pPr>
    </w:p>
    <w:p w:rsidR="004E5F27" w:rsidRDefault="004E5F27">
      <w:pPr>
        <w:pStyle w:val="Titre4"/>
      </w:pPr>
      <w:r>
        <w:t>LU ET APPROUVE, LE</w:t>
      </w:r>
    </w:p>
    <w:p w:rsidR="004E5F27" w:rsidRDefault="004E5F27">
      <w:pPr>
        <w:jc w:val="both"/>
        <w:rPr>
          <w:sz w:val="20"/>
        </w:rPr>
      </w:pPr>
      <w:r>
        <w:rPr>
          <w:sz w:val="20"/>
        </w:rPr>
        <w:t>Le Cand</w:t>
      </w:r>
      <w:r w:rsidR="004C2BD3">
        <w:rPr>
          <w:sz w:val="20"/>
        </w:rPr>
        <w:t>idat soumissionnant une Offre (</w:t>
      </w:r>
      <w:r>
        <w:rPr>
          <w:sz w:val="20"/>
        </w:rPr>
        <w:t>Cachet + Références)</w:t>
      </w:r>
      <w:r w:rsidR="00275DEA">
        <w:rPr>
          <w:sz w:val="20"/>
        </w:rPr>
        <w:tab/>
        <w:t xml:space="preserve">L’Etablissement (cachet + références+date) </w:t>
      </w:r>
    </w:p>
    <w:p w:rsidR="004E5F27" w:rsidRDefault="00275DEA">
      <w:pPr>
        <w:jc w:val="both"/>
        <w:rPr>
          <w:sz w:val="20"/>
        </w:rPr>
      </w:pPr>
      <w:r>
        <w:rPr>
          <w:sz w:val="20"/>
        </w:rPr>
        <w:tab/>
      </w:r>
      <w:r>
        <w:rPr>
          <w:sz w:val="20"/>
        </w:rPr>
        <w:tab/>
      </w:r>
      <w:r>
        <w:rPr>
          <w:sz w:val="20"/>
        </w:rPr>
        <w:tab/>
      </w:r>
      <w:r>
        <w:rPr>
          <w:sz w:val="20"/>
        </w:rPr>
        <w:tab/>
      </w:r>
      <w:r>
        <w:rPr>
          <w:sz w:val="20"/>
        </w:rPr>
        <w:tab/>
      </w:r>
      <w:r>
        <w:rPr>
          <w:sz w:val="20"/>
        </w:rPr>
        <w:tab/>
      </w:r>
      <w:r>
        <w:rPr>
          <w:sz w:val="20"/>
        </w:rPr>
        <w:tab/>
      </w:r>
    </w:p>
    <w:p w:rsidR="004E5F27" w:rsidRDefault="004E5F27">
      <w:pPr>
        <w:jc w:val="both"/>
        <w:rPr>
          <w:sz w:val="20"/>
        </w:rPr>
      </w:pPr>
      <w:r>
        <w:rPr>
          <w:sz w:val="20"/>
        </w:rPr>
        <w:t>Signature</w:t>
      </w:r>
    </w:p>
    <w:sectPr w:rsidR="004E5F27" w:rsidSect="006C3D4B">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74" w:rsidRDefault="009E4F74">
      <w:r>
        <w:separator/>
      </w:r>
    </w:p>
  </w:endnote>
  <w:endnote w:type="continuationSeparator" w:id="0">
    <w:p w:rsidR="009E4F74" w:rsidRDefault="009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27" w:rsidRDefault="0016544B">
    <w:pPr>
      <w:pStyle w:val="Pieddepage"/>
      <w:framePr w:wrap="around" w:vAnchor="text" w:hAnchor="margin" w:xAlign="right" w:y="1"/>
      <w:rPr>
        <w:rStyle w:val="Numrodepage"/>
      </w:rPr>
    </w:pPr>
    <w:r>
      <w:rPr>
        <w:rStyle w:val="Numrodepage"/>
      </w:rPr>
      <w:fldChar w:fldCharType="begin"/>
    </w:r>
    <w:r w:rsidR="004E5F27">
      <w:rPr>
        <w:rStyle w:val="Numrodepage"/>
      </w:rPr>
      <w:instrText xml:space="preserve">PAGE  </w:instrText>
    </w:r>
    <w:r>
      <w:rPr>
        <w:rStyle w:val="Numrodepage"/>
      </w:rPr>
      <w:fldChar w:fldCharType="end"/>
    </w:r>
  </w:p>
  <w:p w:rsidR="004E5F27" w:rsidRDefault="004E5F2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27" w:rsidRDefault="0016544B">
    <w:pPr>
      <w:pStyle w:val="Pieddepage"/>
      <w:framePr w:wrap="around" w:vAnchor="text" w:hAnchor="margin" w:xAlign="right" w:y="1"/>
      <w:rPr>
        <w:rStyle w:val="Numrodepage"/>
      </w:rPr>
    </w:pPr>
    <w:r>
      <w:rPr>
        <w:rStyle w:val="Numrodepage"/>
      </w:rPr>
      <w:fldChar w:fldCharType="begin"/>
    </w:r>
    <w:r w:rsidR="004E5F27">
      <w:rPr>
        <w:rStyle w:val="Numrodepage"/>
      </w:rPr>
      <w:instrText xml:space="preserve">PAGE  </w:instrText>
    </w:r>
    <w:r>
      <w:rPr>
        <w:rStyle w:val="Numrodepage"/>
      </w:rPr>
      <w:fldChar w:fldCharType="separate"/>
    </w:r>
    <w:r w:rsidR="00022BD8">
      <w:rPr>
        <w:rStyle w:val="Numrodepage"/>
        <w:noProof/>
      </w:rPr>
      <w:t>3</w:t>
    </w:r>
    <w:r>
      <w:rPr>
        <w:rStyle w:val="Numrodepage"/>
      </w:rPr>
      <w:fldChar w:fldCharType="end"/>
    </w:r>
  </w:p>
  <w:p w:rsidR="004E5F27" w:rsidRDefault="004E5F2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74" w:rsidRDefault="009E4F74">
      <w:r>
        <w:separator/>
      </w:r>
    </w:p>
  </w:footnote>
  <w:footnote w:type="continuationSeparator" w:id="0">
    <w:p w:rsidR="009E4F74" w:rsidRDefault="009E4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1065"/>
        </w:tabs>
      </w:pPr>
      <w:rPr>
        <w:rFonts w:ascii="Times New Roman" w:hAnsi="Times New Roman" w:cs="Times New Roman"/>
      </w:rPr>
    </w:lvl>
  </w:abstractNum>
  <w:abstractNum w:abstractNumId="1">
    <w:nsid w:val="00000002"/>
    <w:multiLevelType w:val="multilevel"/>
    <w:tmpl w:val="00000002"/>
    <w:name w:val="WW8Num2"/>
    <w:lvl w:ilvl="0">
      <w:start w:val="1"/>
      <w:numFmt w:val="bullet"/>
      <w:lvlText w:val=""/>
      <w:lvlJc w:val="left"/>
      <w:pPr>
        <w:tabs>
          <w:tab w:val="num" w:pos="720"/>
        </w:tabs>
      </w:pPr>
      <w:rPr>
        <w:rFonts w:ascii="Symbol" w:hAnsi="Symbol" w:cs="Courier New"/>
      </w:rPr>
    </w:lvl>
    <w:lvl w:ilvl="1">
      <w:start w:val="1"/>
      <w:numFmt w:val="bullet"/>
      <w:lvlText w:val=""/>
      <w:lvlJc w:val="left"/>
      <w:pPr>
        <w:tabs>
          <w:tab w:val="num" w:pos="1080"/>
        </w:tabs>
      </w:pPr>
      <w:rPr>
        <w:rFonts w:ascii="Symbol" w:hAnsi="Symbol" w:cs="Courier New"/>
      </w:rPr>
    </w:lvl>
    <w:lvl w:ilvl="2">
      <w:start w:val="1"/>
      <w:numFmt w:val="bullet"/>
      <w:lvlText w:val=""/>
      <w:lvlJc w:val="left"/>
      <w:pPr>
        <w:tabs>
          <w:tab w:val="num" w:pos="1440"/>
        </w:tabs>
      </w:pPr>
      <w:rPr>
        <w:rFonts w:ascii="Symbol" w:hAnsi="Symbol" w:cs="Courier New"/>
      </w:rPr>
    </w:lvl>
    <w:lvl w:ilvl="3">
      <w:start w:val="1"/>
      <w:numFmt w:val="bullet"/>
      <w:lvlText w:val=""/>
      <w:lvlJc w:val="left"/>
      <w:pPr>
        <w:tabs>
          <w:tab w:val="num" w:pos="1800"/>
        </w:tabs>
      </w:pPr>
      <w:rPr>
        <w:rFonts w:ascii="Symbol" w:hAnsi="Symbol" w:cs="Courier New"/>
      </w:rPr>
    </w:lvl>
    <w:lvl w:ilvl="4">
      <w:start w:val="1"/>
      <w:numFmt w:val="bullet"/>
      <w:lvlText w:val=""/>
      <w:lvlJc w:val="left"/>
      <w:pPr>
        <w:tabs>
          <w:tab w:val="num" w:pos="2160"/>
        </w:tabs>
      </w:pPr>
      <w:rPr>
        <w:rFonts w:ascii="Symbol" w:hAnsi="Symbol" w:cs="Courier New"/>
      </w:rPr>
    </w:lvl>
    <w:lvl w:ilvl="5">
      <w:start w:val="1"/>
      <w:numFmt w:val="bullet"/>
      <w:lvlText w:val=""/>
      <w:lvlJc w:val="left"/>
      <w:pPr>
        <w:tabs>
          <w:tab w:val="num" w:pos="2520"/>
        </w:tabs>
      </w:pPr>
      <w:rPr>
        <w:rFonts w:ascii="Symbol" w:hAnsi="Symbol" w:cs="Courier New"/>
      </w:rPr>
    </w:lvl>
    <w:lvl w:ilvl="6">
      <w:start w:val="1"/>
      <w:numFmt w:val="bullet"/>
      <w:lvlText w:val=""/>
      <w:lvlJc w:val="left"/>
      <w:pPr>
        <w:tabs>
          <w:tab w:val="num" w:pos="2880"/>
        </w:tabs>
      </w:pPr>
      <w:rPr>
        <w:rFonts w:ascii="Symbol" w:hAnsi="Symbol" w:cs="Courier New"/>
      </w:rPr>
    </w:lvl>
    <w:lvl w:ilvl="7">
      <w:start w:val="1"/>
      <w:numFmt w:val="bullet"/>
      <w:lvlText w:val=""/>
      <w:lvlJc w:val="left"/>
      <w:pPr>
        <w:tabs>
          <w:tab w:val="num" w:pos="3240"/>
        </w:tabs>
      </w:pPr>
      <w:rPr>
        <w:rFonts w:ascii="Symbol" w:hAnsi="Symbol" w:cs="Courier New"/>
      </w:rPr>
    </w:lvl>
    <w:lvl w:ilvl="8">
      <w:start w:val="1"/>
      <w:numFmt w:val="bullet"/>
      <w:lvlText w:val=""/>
      <w:lvlJc w:val="left"/>
      <w:pPr>
        <w:tabs>
          <w:tab w:val="num" w:pos="3600"/>
        </w:tabs>
      </w:pPr>
      <w:rPr>
        <w:rFonts w:ascii="Symbol" w:hAnsi="Symbol" w:cs="Courier New"/>
      </w:rPr>
    </w:lvl>
  </w:abstractNum>
  <w:abstractNum w:abstractNumId="2">
    <w:nsid w:val="00000003"/>
    <w:multiLevelType w:val="multilevel"/>
    <w:tmpl w:val="00000003"/>
    <w:name w:val="WW8Num3"/>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089F64B2"/>
    <w:multiLevelType w:val="hybridMultilevel"/>
    <w:tmpl w:val="FF8890F0"/>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9D61061"/>
    <w:multiLevelType w:val="hybridMultilevel"/>
    <w:tmpl w:val="FDB24FAC"/>
    <w:lvl w:ilvl="0" w:tplc="DCECC6C2">
      <w:start w:val="1"/>
      <w:numFmt w:val="bullet"/>
      <w:lvlText w:val=""/>
      <w:lvlJc w:val="left"/>
      <w:pPr>
        <w:tabs>
          <w:tab w:val="num" w:pos="720"/>
        </w:tabs>
        <w:ind w:left="720" w:hanging="360"/>
      </w:pPr>
      <w:rPr>
        <w:rFonts w:ascii="Wingdings" w:hAnsi="Wingdings" w:hint="default"/>
      </w:rPr>
    </w:lvl>
    <w:lvl w:ilvl="1" w:tplc="7EF84E6E" w:tentative="1">
      <w:start w:val="1"/>
      <w:numFmt w:val="bullet"/>
      <w:lvlText w:val="o"/>
      <w:lvlJc w:val="left"/>
      <w:pPr>
        <w:tabs>
          <w:tab w:val="num" w:pos="1440"/>
        </w:tabs>
        <w:ind w:left="1440" w:hanging="360"/>
      </w:pPr>
      <w:rPr>
        <w:rFonts w:ascii="Courier New" w:hAnsi="Courier New" w:hint="default"/>
      </w:rPr>
    </w:lvl>
    <w:lvl w:ilvl="2" w:tplc="38CAE7DE" w:tentative="1">
      <w:start w:val="1"/>
      <w:numFmt w:val="bullet"/>
      <w:lvlText w:val=""/>
      <w:lvlJc w:val="left"/>
      <w:pPr>
        <w:tabs>
          <w:tab w:val="num" w:pos="2160"/>
        </w:tabs>
        <w:ind w:left="2160" w:hanging="360"/>
      </w:pPr>
      <w:rPr>
        <w:rFonts w:ascii="Wingdings" w:hAnsi="Wingdings" w:hint="default"/>
      </w:rPr>
    </w:lvl>
    <w:lvl w:ilvl="3" w:tplc="F550B1B4" w:tentative="1">
      <w:start w:val="1"/>
      <w:numFmt w:val="bullet"/>
      <w:lvlText w:val=""/>
      <w:lvlJc w:val="left"/>
      <w:pPr>
        <w:tabs>
          <w:tab w:val="num" w:pos="2880"/>
        </w:tabs>
        <w:ind w:left="2880" w:hanging="360"/>
      </w:pPr>
      <w:rPr>
        <w:rFonts w:ascii="Symbol" w:hAnsi="Symbol" w:hint="default"/>
      </w:rPr>
    </w:lvl>
    <w:lvl w:ilvl="4" w:tplc="E7D2F3E8" w:tentative="1">
      <w:start w:val="1"/>
      <w:numFmt w:val="bullet"/>
      <w:lvlText w:val="o"/>
      <w:lvlJc w:val="left"/>
      <w:pPr>
        <w:tabs>
          <w:tab w:val="num" w:pos="3600"/>
        </w:tabs>
        <w:ind w:left="3600" w:hanging="360"/>
      </w:pPr>
      <w:rPr>
        <w:rFonts w:ascii="Courier New" w:hAnsi="Courier New" w:hint="default"/>
      </w:rPr>
    </w:lvl>
    <w:lvl w:ilvl="5" w:tplc="A92C817A" w:tentative="1">
      <w:start w:val="1"/>
      <w:numFmt w:val="bullet"/>
      <w:lvlText w:val=""/>
      <w:lvlJc w:val="left"/>
      <w:pPr>
        <w:tabs>
          <w:tab w:val="num" w:pos="4320"/>
        </w:tabs>
        <w:ind w:left="4320" w:hanging="360"/>
      </w:pPr>
      <w:rPr>
        <w:rFonts w:ascii="Wingdings" w:hAnsi="Wingdings" w:hint="default"/>
      </w:rPr>
    </w:lvl>
    <w:lvl w:ilvl="6" w:tplc="A848418C" w:tentative="1">
      <w:start w:val="1"/>
      <w:numFmt w:val="bullet"/>
      <w:lvlText w:val=""/>
      <w:lvlJc w:val="left"/>
      <w:pPr>
        <w:tabs>
          <w:tab w:val="num" w:pos="5040"/>
        </w:tabs>
        <w:ind w:left="5040" w:hanging="360"/>
      </w:pPr>
      <w:rPr>
        <w:rFonts w:ascii="Symbol" w:hAnsi="Symbol" w:hint="default"/>
      </w:rPr>
    </w:lvl>
    <w:lvl w:ilvl="7" w:tplc="22E6192E" w:tentative="1">
      <w:start w:val="1"/>
      <w:numFmt w:val="bullet"/>
      <w:lvlText w:val="o"/>
      <w:lvlJc w:val="left"/>
      <w:pPr>
        <w:tabs>
          <w:tab w:val="num" w:pos="5760"/>
        </w:tabs>
        <w:ind w:left="5760" w:hanging="360"/>
      </w:pPr>
      <w:rPr>
        <w:rFonts w:ascii="Courier New" w:hAnsi="Courier New" w:hint="default"/>
      </w:rPr>
    </w:lvl>
    <w:lvl w:ilvl="8" w:tplc="82162402" w:tentative="1">
      <w:start w:val="1"/>
      <w:numFmt w:val="bullet"/>
      <w:lvlText w:val=""/>
      <w:lvlJc w:val="left"/>
      <w:pPr>
        <w:tabs>
          <w:tab w:val="num" w:pos="6480"/>
        </w:tabs>
        <w:ind w:left="6480" w:hanging="360"/>
      </w:pPr>
      <w:rPr>
        <w:rFonts w:ascii="Wingdings" w:hAnsi="Wingdings" w:hint="default"/>
      </w:rPr>
    </w:lvl>
  </w:abstractNum>
  <w:abstractNum w:abstractNumId="6">
    <w:nsid w:val="0B2376C7"/>
    <w:multiLevelType w:val="multilevel"/>
    <w:tmpl w:val="23D4E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C623833"/>
    <w:multiLevelType w:val="hybridMultilevel"/>
    <w:tmpl w:val="837E12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4164D27"/>
    <w:multiLevelType w:val="multilevel"/>
    <w:tmpl w:val="4210D8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D50201"/>
    <w:multiLevelType w:val="hybridMultilevel"/>
    <w:tmpl w:val="00CC0958"/>
    <w:lvl w:ilvl="0" w:tplc="B094C56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C367736"/>
    <w:multiLevelType w:val="hybridMultilevel"/>
    <w:tmpl w:val="4210D8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7690F47"/>
    <w:multiLevelType w:val="hybridMultilevel"/>
    <w:tmpl w:val="89343BCA"/>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76431FB"/>
    <w:multiLevelType w:val="multilevel"/>
    <w:tmpl w:val="23D4E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AD06D97"/>
    <w:multiLevelType w:val="hybridMultilevel"/>
    <w:tmpl w:val="F620B79E"/>
    <w:lvl w:ilvl="0" w:tplc="AD7CFCAC">
      <w:start w:val="2"/>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3EF91298"/>
    <w:multiLevelType w:val="hybridMultilevel"/>
    <w:tmpl w:val="4C70C09E"/>
    <w:lvl w:ilvl="0" w:tplc="8A78C11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7210229"/>
    <w:multiLevelType w:val="hybridMultilevel"/>
    <w:tmpl w:val="36281CA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AE717F5"/>
    <w:multiLevelType w:val="hybridMultilevel"/>
    <w:tmpl w:val="54E2C90C"/>
    <w:lvl w:ilvl="0" w:tplc="040C000B">
      <w:start w:val="1"/>
      <w:numFmt w:val="bullet"/>
      <w:lvlText w:val=""/>
      <w:lvlJc w:val="left"/>
      <w:pPr>
        <w:tabs>
          <w:tab w:val="num" w:pos="720"/>
        </w:tabs>
        <w:ind w:left="720" w:hanging="360"/>
      </w:pPr>
      <w:rPr>
        <w:rFonts w:ascii="Wingdings" w:hAnsi="Wingdings" w:hint="default"/>
      </w:rPr>
    </w:lvl>
    <w:lvl w:ilvl="1" w:tplc="56C2B8EC">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C625FA2"/>
    <w:multiLevelType w:val="hybridMultilevel"/>
    <w:tmpl w:val="17EAD6F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0F90905"/>
    <w:multiLevelType w:val="multilevel"/>
    <w:tmpl w:val="23D4EA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62977947"/>
    <w:multiLevelType w:val="hybridMultilevel"/>
    <w:tmpl w:val="B2AC13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64D51EE"/>
    <w:multiLevelType w:val="hybridMultilevel"/>
    <w:tmpl w:val="1D64D670"/>
    <w:lvl w:ilvl="0" w:tplc="C3644B5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B4047C5"/>
    <w:multiLevelType w:val="hybridMultilevel"/>
    <w:tmpl w:val="50541A4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6F3F1F95"/>
    <w:multiLevelType w:val="hybridMultilevel"/>
    <w:tmpl w:val="436E2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B062AA"/>
    <w:multiLevelType w:val="multilevel"/>
    <w:tmpl w:val="23D4E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FD550C6"/>
    <w:multiLevelType w:val="hybridMultilevel"/>
    <w:tmpl w:val="13CCE6A6"/>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16"/>
  </w:num>
  <w:num w:numId="7">
    <w:abstractNumId w:val="12"/>
  </w:num>
  <w:num w:numId="8">
    <w:abstractNumId w:val="17"/>
  </w:num>
  <w:num w:numId="9">
    <w:abstractNumId w:val="18"/>
  </w:num>
  <w:num w:numId="10">
    <w:abstractNumId w:val="15"/>
  </w:num>
  <w:num w:numId="11">
    <w:abstractNumId w:val="14"/>
  </w:num>
  <w:num w:numId="12">
    <w:abstractNumId w:val="23"/>
  </w:num>
  <w:num w:numId="13">
    <w:abstractNumId w:val="19"/>
  </w:num>
  <w:num w:numId="14">
    <w:abstractNumId w:val="11"/>
  </w:num>
  <w:num w:numId="15">
    <w:abstractNumId w:val="4"/>
  </w:num>
  <w:num w:numId="16">
    <w:abstractNumId w:val="21"/>
  </w:num>
  <w:num w:numId="17">
    <w:abstractNumId w:val="24"/>
  </w:num>
  <w:num w:numId="18">
    <w:abstractNumId w:val="7"/>
  </w:num>
  <w:num w:numId="19">
    <w:abstractNumId w:val="10"/>
  </w:num>
  <w:num w:numId="20">
    <w:abstractNumId w:val="8"/>
  </w:num>
  <w:num w:numId="21">
    <w:abstractNumId w:val="9"/>
  </w:num>
  <w:num w:numId="22">
    <w:abstractNumId w:val="22"/>
  </w:num>
  <w:num w:numId="23">
    <w:abstractNumId w:val="20"/>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D9"/>
    <w:rsid w:val="000003AA"/>
    <w:rsid w:val="00007497"/>
    <w:rsid w:val="00022BD8"/>
    <w:rsid w:val="00024388"/>
    <w:rsid w:val="00024650"/>
    <w:rsid w:val="000375F5"/>
    <w:rsid w:val="00037D5F"/>
    <w:rsid w:val="00043292"/>
    <w:rsid w:val="00044291"/>
    <w:rsid w:val="00070162"/>
    <w:rsid w:val="00073E25"/>
    <w:rsid w:val="000752AE"/>
    <w:rsid w:val="00080AF1"/>
    <w:rsid w:val="00082A99"/>
    <w:rsid w:val="000D2D47"/>
    <w:rsid w:val="000E1DFE"/>
    <w:rsid w:val="000F0D0C"/>
    <w:rsid w:val="000F7FC0"/>
    <w:rsid w:val="00106780"/>
    <w:rsid w:val="00111D54"/>
    <w:rsid w:val="001132DE"/>
    <w:rsid w:val="001279D4"/>
    <w:rsid w:val="00132B55"/>
    <w:rsid w:val="00144A8F"/>
    <w:rsid w:val="0014563A"/>
    <w:rsid w:val="00151A89"/>
    <w:rsid w:val="00161BE4"/>
    <w:rsid w:val="0016544B"/>
    <w:rsid w:val="001876DD"/>
    <w:rsid w:val="001A2E14"/>
    <w:rsid w:val="001C0055"/>
    <w:rsid w:val="001C2B4D"/>
    <w:rsid w:val="001C7298"/>
    <w:rsid w:val="001D0061"/>
    <w:rsid w:val="001E2955"/>
    <w:rsid w:val="00275DEA"/>
    <w:rsid w:val="002C177D"/>
    <w:rsid w:val="002D3F83"/>
    <w:rsid w:val="00305533"/>
    <w:rsid w:val="0031390A"/>
    <w:rsid w:val="00314F0C"/>
    <w:rsid w:val="00332761"/>
    <w:rsid w:val="003402E3"/>
    <w:rsid w:val="003546F1"/>
    <w:rsid w:val="0035764E"/>
    <w:rsid w:val="0036244F"/>
    <w:rsid w:val="0038240E"/>
    <w:rsid w:val="003872F8"/>
    <w:rsid w:val="00391B13"/>
    <w:rsid w:val="003A04BB"/>
    <w:rsid w:val="003A61D6"/>
    <w:rsid w:val="003C101A"/>
    <w:rsid w:val="003C1FC3"/>
    <w:rsid w:val="003C5A08"/>
    <w:rsid w:val="003D788E"/>
    <w:rsid w:val="003E6A6B"/>
    <w:rsid w:val="003E6D05"/>
    <w:rsid w:val="004108E0"/>
    <w:rsid w:val="00412676"/>
    <w:rsid w:val="004305AB"/>
    <w:rsid w:val="00435C6F"/>
    <w:rsid w:val="00443611"/>
    <w:rsid w:val="004777AE"/>
    <w:rsid w:val="004820D6"/>
    <w:rsid w:val="00493C8C"/>
    <w:rsid w:val="00494082"/>
    <w:rsid w:val="004A03F8"/>
    <w:rsid w:val="004A4CAD"/>
    <w:rsid w:val="004C2BD3"/>
    <w:rsid w:val="004C38DB"/>
    <w:rsid w:val="004E5F27"/>
    <w:rsid w:val="004F2392"/>
    <w:rsid w:val="005005DE"/>
    <w:rsid w:val="00512E55"/>
    <w:rsid w:val="00514C05"/>
    <w:rsid w:val="0052452B"/>
    <w:rsid w:val="005649B5"/>
    <w:rsid w:val="00584DE5"/>
    <w:rsid w:val="005C1DF0"/>
    <w:rsid w:val="005C4CE3"/>
    <w:rsid w:val="005D0A70"/>
    <w:rsid w:val="005D1B60"/>
    <w:rsid w:val="005D597B"/>
    <w:rsid w:val="005E4D81"/>
    <w:rsid w:val="006166AC"/>
    <w:rsid w:val="00633847"/>
    <w:rsid w:val="00635707"/>
    <w:rsid w:val="006460A4"/>
    <w:rsid w:val="00677366"/>
    <w:rsid w:val="00687A84"/>
    <w:rsid w:val="00692123"/>
    <w:rsid w:val="00693A05"/>
    <w:rsid w:val="006B5B44"/>
    <w:rsid w:val="006C00A4"/>
    <w:rsid w:val="006C3D4B"/>
    <w:rsid w:val="006E3E92"/>
    <w:rsid w:val="006E62B9"/>
    <w:rsid w:val="006F39C2"/>
    <w:rsid w:val="00706858"/>
    <w:rsid w:val="007224B4"/>
    <w:rsid w:val="007454ED"/>
    <w:rsid w:val="0076536C"/>
    <w:rsid w:val="007669E3"/>
    <w:rsid w:val="0079504C"/>
    <w:rsid w:val="007C192A"/>
    <w:rsid w:val="008161FF"/>
    <w:rsid w:val="0083713A"/>
    <w:rsid w:val="00841B62"/>
    <w:rsid w:val="00847A6F"/>
    <w:rsid w:val="0086044E"/>
    <w:rsid w:val="00867865"/>
    <w:rsid w:val="008755AE"/>
    <w:rsid w:val="008A173A"/>
    <w:rsid w:val="008A58FA"/>
    <w:rsid w:val="008E1B66"/>
    <w:rsid w:val="008F49D3"/>
    <w:rsid w:val="008F7863"/>
    <w:rsid w:val="009115EE"/>
    <w:rsid w:val="00915E57"/>
    <w:rsid w:val="00916C17"/>
    <w:rsid w:val="0093517B"/>
    <w:rsid w:val="00941BB0"/>
    <w:rsid w:val="00960262"/>
    <w:rsid w:val="00962D76"/>
    <w:rsid w:val="0096665C"/>
    <w:rsid w:val="009670DD"/>
    <w:rsid w:val="009A5D9E"/>
    <w:rsid w:val="009C65B5"/>
    <w:rsid w:val="009E4F74"/>
    <w:rsid w:val="009E7C0E"/>
    <w:rsid w:val="00A146F4"/>
    <w:rsid w:val="00A648F3"/>
    <w:rsid w:val="00A7779C"/>
    <w:rsid w:val="00A81BFF"/>
    <w:rsid w:val="00A81C94"/>
    <w:rsid w:val="00AB4274"/>
    <w:rsid w:val="00AC125A"/>
    <w:rsid w:val="00AC39D4"/>
    <w:rsid w:val="00AD21B9"/>
    <w:rsid w:val="00AD5E2D"/>
    <w:rsid w:val="00AE62D9"/>
    <w:rsid w:val="00AF32B7"/>
    <w:rsid w:val="00B46A9D"/>
    <w:rsid w:val="00B51C4D"/>
    <w:rsid w:val="00B57F17"/>
    <w:rsid w:val="00B60E9D"/>
    <w:rsid w:val="00B643D9"/>
    <w:rsid w:val="00B7501E"/>
    <w:rsid w:val="00B7656D"/>
    <w:rsid w:val="00B8548A"/>
    <w:rsid w:val="00B953C2"/>
    <w:rsid w:val="00BA2EC2"/>
    <w:rsid w:val="00BC48B4"/>
    <w:rsid w:val="00BC7C2C"/>
    <w:rsid w:val="00BE7DC1"/>
    <w:rsid w:val="00BF311F"/>
    <w:rsid w:val="00C16CC3"/>
    <w:rsid w:val="00C23F4C"/>
    <w:rsid w:val="00C36AB3"/>
    <w:rsid w:val="00C41157"/>
    <w:rsid w:val="00C55D22"/>
    <w:rsid w:val="00C668E0"/>
    <w:rsid w:val="00C84742"/>
    <w:rsid w:val="00C90B2C"/>
    <w:rsid w:val="00C94ABD"/>
    <w:rsid w:val="00CA3364"/>
    <w:rsid w:val="00CC2A28"/>
    <w:rsid w:val="00CC4F84"/>
    <w:rsid w:val="00CC6151"/>
    <w:rsid w:val="00CD17BA"/>
    <w:rsid w:val="00CE24F2"/>
    <w:rsid w:val="00CF28AD"/>
    <w:rsid w:val="00D0005E"/>
    <w:rsid w:val="00D231C0"/>
    <w:rsid w:val="00D253CB"/>
    <w:rsid w:val="00D30DE0"/>
    <w:rsid w:val="00D36517"/>
    <w:rsid w:val="00D41F30"/>
    <w:rsid w:val="00D42AED"/>
    <w:rsid w:val="00D43199"/>
    <w:rsid w:val="00D616AE"/>
    <w:rsid w:val="00DD6E9D"/>
    <w:rsid w:val="00DE56BF"/>
    <w:rsid w:val="00DF4103"/>
    <w:rsid w:val="00E21284"/>
    <w:rsid w:val="00E24CB7"/>
    <w:rsid w:val="00E303A0"/>
    <w:rsid w:val="00E365EC"/>
    <w:rsid w:val="00E37103"/>
    <w:rsid w:val="00E46963"/>
    <w:rsid w:val="00E874A5"/>
    <w:rsid w:val="00E95481"/>
    <w:rsid w:val="00EB0074"/>
    <w:rsid w:val="00EB5754"/>
    <w:rsid w:val="00F236A0"/>
    <w:rsid w:val="00F32E2E"/>
    <w:rsid w:val="00F5472F"/>
    <w:rsid w:val="00F56284"/>
    <w:rsid w:val="00F61450"/>
    <w:rsid w:val="00F61C1D"/>
    <w:rsid w:val="00F64233"/>
    <w:rsid w:val="00F72EC6"/>
    <w:rsid w:val="00FB7AA2"/>
    <w:rsid w:val="00FC1F0E"/>
    <w:rsid w:val="00FC692E"/>
    <w:rsid w:val="00FD6F1A"/>
    <w:rsid w:val="00FF2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D4B"/>
    <w:rPr>
      <w:sz w:val="24"/>
      <w:szCs w:val="24"/>
    </w:rPr>
  </w:style>
  <w:style w:type="paragraph" w:styleId="Titre1">
    <w:name w:val="heading 1"/>
    <w:basedOn w:val="Normal"/>
    <w:next w:val="Normal"/>
    <w:qFormat/>
    <w:rsid w:val="006C3D4B"/>
    <w:pPr>
      <w:keepNext/>
      <w:pBdr>
        <w:top w:val="single" w:sz="4" w:space="1" w:color="auto"/>
        <w:left w:val="single" w:sz="4" w:space="4" w:color="auto"/>
        <w:bottom w:val="single" w:sz="4" w:space="1" w:color="auto"/>
        <w:right w:val="single" w:sz="4" w:space="4" w:color="auto"/>
      </w:pBdr>
      <w:jc w:val="center"/>
      <w:outlineLvl w:val="0"/>
    </w:pPr>
    <w:rPr>
      <w:b/>
      <w:bCs/>
      <w:sz w:val="32"/>
    </w:rPr>
  </w:style>
  <w:style w:type="paragraph" w:styleId="Titre2">
    <w:name w:val="heading 2"/>
    <w:basedOn w:val="Normal"/>
    <w:next w:val="Normal"/>
    <w:qFormat/>
    <w:rsid w:val="006C3D4B"/>
    <w:pPr>
      <w:keepNext/>
      <w:pBdr>
        <w:top w:val="single" w:sz="4" w:space="1" w:color="auto"/>
        <w:left w:val="single" w:sz="4" w:space="4" w:color="auto"/>
        <w:bottom w:val="single" w:sz="4" w:space="1" w:color="auto"/>
        <w:right w:val="single" w:sz="4" w:space="4" w:color="auto"/>
      </w:pBdr>
      <w:jc w:val="center"/>
      <w:outlineLvl w:val="1"/>
    </w:pPr>
    <w:rPr>
      <w:color w:val="FF0000"/>
      <w:u w:val="single"/>
    </w:rPr>
  </w:style>
  <w:style w:type="paragraph" w:styleId="Titre3">
    <w:name w:val="heading 3"/>
    <w:basedOn w:val="Normal"/>
    <w:next w:val="Normal"/>
    <w:qFormat/>
    <w:rsid w:val="006C3D4B"/>
    <w:pPr>
      <w:keepNext/>
      <w:jc w:val="both"/>
      <w:outlineLvl w:val="2"/>
    </w:pPr>
    <w:rPr>
      <w:b/>
      <w:bCs/>
      <w:sz w:val="20"/>
      <w:u w:val="single"/>
    </w:rPr>
  </w:style>
  <w:style w:type="paragraph" w:styleId="Titre4">
    <w:name w:val="heading 4"/>
    <w:basedOn w:val="Normal"/>
    <w:next w:val="Normal"/>
    <w:qFormat/>
    <w:rsid w:val="006C3D4B"/>
    <w:pPr>
      <w:keepNext/>
      <w:jc w:val="both"/>
      <w:outlineLvl w:val="3"/>
    </w:pPr>
    <w:rPr>
      <w:b/>
      <w:bCs/>
      <w:i/>
      <w:iCs/>
      <w:sz w:val="20"/>
    </w:rPr>
  </w:style>
  <w:style w:type="paragraph" w:styleId="Titre5">
    <w:name w:val="heading 5"/>
    <w:basedOn w:val="Normal"/>
    <w:next w:val="Normal"/>
    <w:qFormat/>
    <w:rsid w:val="006C3D4B"/>
    <w:pPr>
      <w:keepNext/>
      <w:jc w:val="both"/>
      <w:outlineLvl w:val="4"/>
    </w:pPr>
    <w:rPr>
      <w:b/>
      <w:bCs/>
      <w:sz w:val="20"/>
    </w:rPr>
  </w:style>
  <w:style w:type="paragraph" w:styleId="Titre6">
    <w:name w:val="heading 6"/>
    <w:basedOn w:val="Normal"/>
    <w:next w:val="Normal"/>
    <w:qFormat/>
    <w:rsid w:val="006C3D4B"/>
    <w:pPr>
      <w:keepNext/>
      <w:jc w:val="both"/>
      <w:outlineLvl w:val="5"/>
    </w:pPr>
    <w:rPr>
      <w:i/>
      <w:iCs/>
      <w:sz w:val="20"/>
    </w:rPr>
  </w:style>
  <w:style w:type="paragraph" w:styleId="Titre7">
    <w:name w:val="heading 7"/>
    <w:basedOn w:val="Normal"/>
    <w:next w:val="Normal"/>
    <w:qFormat/>
    <w:rsid w:val="006C3D4B"/>
    <w:pPr>
      <w:keepNext/>
      <w:jc w:val="center"/>
      <w:outlineLvl w:val="6"/>
    </w:pPr>
    <w:rPr>
      <w:b/>
      <w:bCs/>
      <w:color w:val="FF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C3D4B"/>
    <w:pPr>
      <w:pBdr>
        <w:top w:val="single" w:sz="4" w:space="1" w:color="auto"/>
        <w:left w:val="single" w:sz="4" w:space="4" w:color="auto"/>
        <w:bottom w:val="single" w:sz="4" w:space="1" w:color="auto"/>
        <w:right w:val="single" w:sz="4" w:space="31" w:color="auto"/>
      </w:pBdr>
      <w:ind w:right="6012"/>
      <w:jc w:val="right"/>
    </w:pPr>
  </w:style>
  <w:style w:type="paragraph" w:styleId="Corpsdetexte3">
    <w:name w:val="Body Text 3"/>
    <w:basedOn w:val="Normal"/>
    <w:rsid w:val="006C3D4B"/>
    <w:pPr>
      <w:jc w:val="both"/>
    </w:pPr>
    <w:rPr>
      <w:bCs/>
      <w:sz w:val="22"/>
      <w:lang w:eastAsia="ar-SA"/>
    </w:rPr>
  </w:style>
  <w:style w:type="character" w:styleId="Lienhypertextesuivivisit">
    <w:name w:val="FollowedHyperlink"/>
    <w:basedOn w:val="Policepardfaut"/>
    <w:rsid w:val="006C3D4B"/>
    <w:rPr>
      <w:color w:val="800080"/>
      <w:u w:val="single"/>
    </w:rPr>
  </w:style>
  <w:style w:type="character" w:styleId="Lienhypertexte">
    <w:name w:val="Hyperlink"/>
    <w:basedOn w:val="Policepardfaut"/>
    <w:rsid w:val="006C3D4B"/>
    <w:rPr>
      <w:color w:val="0000FF"/>
      <w:u w:val="single"/>
    </w:rPr>
  </w:style>
  <w:style w:type="paragraph" w:styleId="Pieddepage">
    <w:name w:val="footer"/>
    <w:basedOn w:val="Normal"/>
    <w:rsid w:val="006C3D4B"/>
    <w:pPr>
      <w:tabs>
        <w:tab w:val="center" w:pos="4536"/>
        <w:tab w:val="right" w:pos="9072"/>
      </w:tabs>
    </w:pPr>
  </w:style>
  <w:style w:type="character" w:styleId="Numrodepage">
    <w:name w:val="page number"/>
    <w:basedOn w:val="Policepardfaut"/>
    <w:rsid w:val="006C3D4B"/>
  </w:style>
  <w:style w:type="paragraph" w:styleId="Corpsdetexte2">
    <w:name w:val="Body Text 2"/>
    <w:basedOn w:val="Normal"/>
    <w:rsid w:val="006C3D4B"/>
    <w:pPr>
      <w:jc w:val="both"/>
    </w:pPr>
    <w:rPr>
      <w:sz w:val="20"/>
    </w:rPr>
  </w:style>
  <w:style w:type="paragraph" w:styleId="Textedebulles">
    <w:name w:val="Balloon Text"/>
    <w:basedOn w:val="Normal"/>
    <w:semiHidden/>
    <w:rsid w:val="00B643D9"/>
    <w:rPr>
      <w:rFonts w:ascii="Tahoma" w:hAnsi="Tahoma" w:cs="Tahoma"/>
      <w:sz w:val="16"/>
      <w:szCs w:val="16"/>
    </w:rPr>
  </w:style>
  <w:style w:type="paragraph" w:styleId="Paragraphedeliste">
    <w:name w:val="List Paragraph"/>
    <w:basedOn w:val="Normal"/>
    <w:uiPriority w:val="34"/>
    <w:qFormat/>
    <w:rsid w:val="001A2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D4B"/>
    <w:rPr>
      <w:sz w:val="24"/>
      <w:szCs w:val="24"/>
    </w:rPr>
  </w:style>
  <w:style w:type="paragraph" w:styleId="Titre1">
    <w:name w:val="heading 1"/>
    <w:basedOn w:val="Normal"/>
    <w:next w:val="Normal"/>
    <w:qFormat/>
    <w:rsid w:val="006C3D4B"/>
    <w:pPr>
      <w:keepNext/>
      <w:pBdr>
        <w:top w:val="single" w:sz="4" w:space="1" w:color="auto"/>
        <w:left w:val="single" w:sz="4" w:space="4" w:color="auto"/>
        <w:bottom w:val="single" w:sz="4" w:space="1" w:color="auto"/>
        <w:right w:val="single" w:sz="4" w:space="4" w:color="auto"/>
      </w:pBdr>
      <w:jc w:val="center"/>
      <w:outlineLvl w:val="0"/>
    </w:pPr>
    <w:rPr>
      <w:b/>
      <w:bCs/>
      <w:sz w:val="32"/>
    </w:rPr>
  </w:style>
  <w:style w:type="paragraph" w:styleId="Titre2">
    <w:name w:val="heading 2"/>
    <w:basedOn w:val="Normal"/>
    <w:next w:val="Normal"/>
    <w:qFormat/>
    <w:rsid w:val="006C3D4B"/>
    <w:pPr>
      <w:keepNext/>
      <w:pBdr>
        <w:top w:val="single" w:sz="4" w:space="1" w:color="auto"/>
        <w:left w:val="single" w:sz="4" w:space="4" w:color="auto"/>
        <w:bottom w:val="single" w:sz="4" w:space="1" w:color="auto"/>
        <w:right w:val="single" w:sz="4" w:space="4" w:color="auto"/>
      </w:pBdr>
      <w:jc w:val="center"/>
      <w:outlineLvl w:val="1"/>
    </w:pPr>
    <w:rPr>
      <w:color w:val="FF0000"/>
      <w:u w:val="single"/>
    </w:rPr>
  </w:style>
  <w:style w:type="paragraph" w:styleId="Titre3">
    <w:name w:val="heading 3"/>
    <w:basedOn w:val="Normal"/>
    <w:next w:val="Normal"/>
    <w:qFormat/>
    <w:rsid w:val="006C3D4B"/>
    <w:pPr>
      <w:keepNext/>
      <w:jc w:val="both"/>
      <w:outlineLvl w:val="2"/>
    </w:pPr>
    <w:rPr>
      <w:b/>
      <w:bCs/>
      <w:sz w:val="20"/>
      <w:u w:val="single"/>
    </w:rPr>
  </w:style>
  <w:style w:type="paragraph" w:styleId="Titre4">
    <w:name w:val="heading 4"/>
    <w:basedOn w:val="Normal"/>
    <w:next w:val="Normal"/>
    <w:qFormat/>
    <w:rsid w:val="006C3D4B"/>
    <w:pPr>
      <w:keepNext/>
      <w:jc w:val="both"/>
      <w:outlineLvl w:val="3"/>
    </w:pPr>
    <w:rPr>
      <w:b/>
      <w:bCs/>
      <w:i/>
      <w:iCs/>
      <w:sz w:val="20"/>
    </w:rPr>
  </w:style>
  <w:style w:type="paragraph" w:styleId="Titre5">
    <w:name w:val="heading 5"/>
    <w:basedOn w:val="Normal"/>
    <w:next w:val="Normal"/>
    <w:qFormat/>
    <w:rsid w:val="006C3D4B"/>
    <w:pPr>
      <w:keepNext/>
      <w:jc w:val="both"/>
      <w:outlineLvl w:val="4"/>
    </w:pPr>
    <w:rPr>
      <w:b/>
      <w:bCs/>
      <w:sz w:val="20"/>
    </w:rPr>
  </w:style>
  <w:style w:type="paragraph" w:styleId="Titre6">
    <w:name w:val="heading 6"/>
    <w:basedOn w:val="Normal"/>
    <w:next w:val="Normal"/>
    <w:qFormat/>
    <w:rsid w:val="006C3D4B"/>
    <w:pPr>
      <w:keepNext/>
      <w:jc w:val="both"/>
      <w:outlineLvl w:val="5"/>
    </w:pPr>
    <w:rPr>
      <w:i/>
      <w:iCs/>
      <w:sz w:val="20"/>
    </w:rPr>
  </w:style>
  <w:style w:type="paragraph" w:styleId="Titre7">
    <w:name w:val="heading 7"/>
    <w:basedOn w:val="Normal"/>
    <w:next w:val="Normal"/>
    <w:qFormat/>
    <w:rsid w:val="006C3D4B"/>
    <w:pPr>
      <w:keepNext/>
      <w:jc w:val="center"/>
      <w:outlineLvl w:val="6"/>
    </w:pPr>
    <w:rPr>
      <w:b/>
      <w:bCs/>
      <w:color w:val="FF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C3D4B"/>
    <w:pPr>
      <w:pBdr>
        <w:top w:val="single" w:sz="4" w:space="1" w:color="auto"/>
        <w:left w:val="single" w:sz="4" w:space="4" w:color="auto"/>
        <w:bottom w:val="single" w:sz="4" w:space="1" w:color="auto"/>
        <w:right w:val="single" w:sz="4" w:space="31" w:color="auto"/>
      </w:pBdr>
      <w:ind w:right="6012"/>
      <w:jc w:val="right"/>
    </w:pPr>
  </w:style>
  <w:style w:type="paragraph" w:styleId="Corpsdetexte3">
    <w:name w:val="Body Text 3"/>
    <w:basedOn w:val="Normal"/>
    <w:rsid w:val="006C3D4B"/>
    <w:pPr>
      <w:jc w:val="both"/>
    </w:pPr>
    <w:rPr>
      <w:bCs/>
      <w:sz w:val="22"/>
      <w:lang w:eastAsia="ar-SA"/>
    </w:rPr>
  </w:style>
  <w:style w:type="character" w:styleId="Lienhypertextesuivivisit">
    <w:name w:val="FollowedHyperlink"/>
    <w:basedOn w:val="Policepardfaut"/>
    <w:rsid w:val="006C3D4B"/>
    <w:rPr>
      <w:color w:val="800080"/>
      <w:u w:val="single"/>
    </w:rPr>
  </w:style>
  <w:style w:type="character" w:styleId="Lienhypertexte">
    <w:name w:val="Hyperlink"/>
    <w:basedOn w:val="Policepardfaut"/>
    <w:rsid w:val="006C3D4B"/>
    <w:rPr>
      <w:color w:val="0000FF"/>
      <w:u w:val="single"/>
    </w:rPr>
  </w:style>
  <w:style w:type="paragraph" w:styleId="Pieddepage">
    <w:name w:val="footer"/>
    <w:basedOn w:val="Normal"/>
    <w:rsid w:val="006C3D4B"/>
    <w:pPr>
      <w:tabs>
        <w:tab w:val="center" w:pos="4536"/>
        <w:tab w:val="right" w:pos="9072"/>
      </w:tabs>
    </w:pPr>
  </w:style>
  <w:style w:type="character" w:styleId="Numrodepage">
    <w:name w:val="page number"/>
    <w:basedOn w:val="Policepardfaut"/>
    <w:rsid w:val="006C3D4B"/>
  </w:style>
  <w:style w:type="paragraph" w:styleId="Corpsdetexte2">
    <w:name w:val="Body Text 2"/>
    <w:basedOn w:val="Normal"/>
    <w:rsid w:val="006C3D4B"/>
    <w:pPr>
      <w:jc w:val="both"/>
    </w:pPr>
    <w:rPr>
      <w:sz w:val="20"/>
    </w:rPr>
  </w:style>
  <w:style w:type="paragraph" w:styleId="Textedebulles">
    <w:name w:val="Balloon Text"/>
    <w:basedOn w:val="Normal"/>
    <w:semiHidden/>
    <w:rsid w:val="00B643D9"/>
    <w:rPr>
      <w:rFonts w:ascii="Tahoma" w:hAnsi="Tahoma" w:cs="Tahoma"/>
      <w:sz w:val="16"/>
      <w:szCs w:val="16"/>
    </w:rPr>
  </w:style>
  <w:style w:type="paragraph" w:styleId="Paragraphedeliste">
    <w:name w:val="List Paragraph"/>
    <w:basedOn w:val="Normal"/>
    <w:uiPriority w:val="34"/>
    <w:qFormat/>
    <w:rsid w:val="001A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0312609t-gest@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9F1C-16A9-4CC3-A211-8ACD0FF9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9534</Characters>
  <Application>Microsoft Office Word</Application>
  <DocSecurity>0</DocSecurity>
  <Lines>1059</Lines>
  <Paragraphs>541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10829</CharactersWithSpaces>
  <SharedDoc>false</SharedDoc>
  <HLinks>
    <vt:vector size="6" baseType="variant">
      <vt:variant>
        <vt:i4>6881291</vt:i4>
      </vt:variant>
      <vt:variant>
        <vt:i4>0</vt:i4>
      </vt:variant>
      <vt:variant>
        <vt:i4>0</vt:i4>
      </vt:variant>
      <vt:variant>
        <vt:i4>5</vt:i4>
      </vt:variant>
      <vt:variant>
        <vt:lpwstr>mailto:0312609T-gest@ac-toulouse.fr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Collège ST Pierre de lages</dc:creator>
  <cp:lastModifiedBy>Utilisateur Windows</cp:lastModifiedBy>
  <cp:revision>2</cp:revision>
  <cp:lastPrinted>2013-03-26T09:26:00Z</cp:lastPrinted>
  <dcterms:created xsi:type="dcterms:W3CDTF">2024-05-21T09:02:00Z</dcterms:created>
  <dcterms:modified xsi:type="dcterms:W3CDTF">2024-05-21T09:02:00Z</dcterms:modified>
</cp:coreProperties>
</file>