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E9" w:rsidRDefault="00155BE9">
      <w:pPr>
        <w:rPr>
          <w:rFonts w:ascii="Times New Roman" w:eastAsia="Times New Roman" w:hAnsi="Times New Roman"/>
          <w:szCs w:val="24"/>
        </w:rPr>
      </w:pPr>
    </w:p>
    <w:p w:rsidR="00155BE9" w:rsidRDefault="00D92255">
      <w:pPr>
        <w:pStyle w:val="align-center"/>
        <w:jc w:val="center"/>
        <w:rPr>
          <w:rFonts w:asciiTheme="majorHAnsi" w:hAnsiTheme="majorHAnsi" w:cstheme="majorHAnsi"/>
          <w:b/>
          <w:bCs/>
          <w:sz w:val="40"/>
          <w:szCs w:val="40"/>
        </w:rPr>
      </w:pPr>
      <w:r>
        <w:rPr>
          <w:rFonts w:asciiTheme="majorHAnsi" w:hAnsiTheme="majorHAnsi" w:cstheme="majorHAnsi"/>
          <w:b/>
          <w:bCs/>
          <w:color w:val="000000"/>
          <w:sz w:val="40"/>
          <w:szCs w:val="40"/>
        </w:rPr>
        <w:t xml:space="preserve">REGLEMENT DE CONSULTATION MARCHE PUBLIC DE </w:t>
      </w:r>
      <w:r>
        <w:rPr>
          <w:rFonts w:asciiTheme="majorHAnsi" w:hAnsiTheme="majorHAnsi" w:cstheme="majorHAnsi"/>
          <w:b/>
          <w:bCs/>
          <w:sz w:val="40"/>
          <w:szCs w:val="40"/>
        </w:rPr>
        <w:t>FOURNITURES COURANTES ET DE SERVICES</w:t>
      </w:r>
    </w:p>
    <w:p w:rsidR="00155BE9" w:rsidRDefault="00D92255">
      <w:pPr>
        <w:pStyle w:val="NormalWeb"/>
      </w:pPr>
      <w:r>
        <w:rPr>
          <w:rFonts w:ascii="Verdana" w:hAnsi="Verdana"/>
          <w:color w:val="000000"/>
          <w:sz w:val="18"/>
          <w:szCs w:val="18"/>
        </w:rPr>
        <w:t> </w:t>
      </w:r>
    </w:p>
    <w:p w:rsidR="00155BE9" w:rsidRDefault="00D92255">
      <w:pPr>
        <w:pStyle w:val="Titre3"/>
      </w:pPr>
      <w:r>
        <w:t>1.    Acheteur public – maître d’ouvrage</w:t>
      </w:r>
    </w:p>
    <w:p w:rsidR="00155BE9" w:rsidRPr="00011C95" w:rsidRDefault="00D92255">
      <w:r>
        <w:t>Dén</w:t>
      </w:r>
      <w:r>
        <w:rPr>
          <w:spacing w:val="1"/>
        </w:rPr>
        <w:t>o</w:t>
      </w:r>
      <w:r>
        <w:rPr>
          <w:spacing w:val="-2"/>
        </w:rPr>
        <w:t>m</w:t>
      </w:r>
      <w:r>
        <w:rPr>
          <w:spacing w:val="1"/>
        </w:rPr>
        <w:t>i</w:t>
      </w:r>
      <w:r>
        <w:t>na</w:t>
      </w:r>
      <w:r>
        <w:rPr>
          <w:spacing w:val="1"/>
        </w:rPr>
        <w:t>t</w:t>
      </w:r>
      <w:r>
        <w:rPr>
          <w:spacing w:val="-1"/>
        </w:rPr>
        <w:t>i</w:t>
      </w:r>
      <w:r>
        <w:t>on</w:t>
      </w:r>
      <w:r w:rsidR="00D72CA6">
        <w:t xml:space="preserve"> </w:t>
      </w:r>
      <w:r>
        <w:t>et</w:t>
      </w:r>
      <w:r w:rsidR="00D72CA6">
        <w:t xml:space="preserve"> </w:t>
      </w:r>
      <w:r>
        <w:t>ad</w:t>
      </w:r>
      <w:r>
        <w:rPr>
          <w:spacing w:val="-1"/>
        </w:rPr>
        <w:t>r</w:t>
      </w:r>
      <w:r>
        <w:t>es</w:t>
      </w:r>
      <w:r>
        <w:rPr>
          <w:spacing w:val="-1"/>
        </w:rPr>
        <w:t>s</w:t>
      </w:r>
      <w:r>
        <w:t>e</w:t>
      </w:r>
      <w:r w:rsidR="00D72CA6">
        <w:t xml:space="preserve"> </w:t>
      </w:r>
      <w:r>
        <w:t>de</w:t>
      </w:r>
      <w:r w:rsidR="00D72CA6">
        <w:t xml:space="preserve"> </w:t>
      </w:r>
      <w:r>
        <w:rPr>
          <w:spacing w:val="1"/>
        </w:rPr>
        <w:t>l</w:t>
      </w:r>
      <w:r>
        <w:rPr>
          <w:spacing w:val="-1"/>
        </w:rPr>
        <w:t>’</w:t>
      </w:r>
      <w:r>
        <w:t>é</w:t>
      </w:r>
      <w:r>
        <w:rPr>
          <w:spacing w:val="1"/>
        </w:rPr>
        <w:t>t</w:t>
      </w:r>
      <w:r>
        <w:t>a</w:t>
      </w:r>
      <w:r>
        <w:rPr>
          <w:spacing w:val="-1"/>
        </w:rPr>
        <w:t>b</w:t>
      </w:r>
      <w:r>
        <w:rPr>
          <w:spacing w:val="1"/>
        </w:rPr>
        <w:t>li</w:t>
      </w:r>
      <w:r>
        <w:rPr>
          <w:spacing w:val="-1"/>
        </w:rPr>
        <w:t>s</w:t>
      </w:r>
      <w:r>
        <w:t>se</w:t>
      </w:r>
      <w:r>
        <w:rPr>
          <w:spacing w:val="-2"/>
        </w:rPr>
        <w:t>m</w:t>
      </w:r>
      <w:r>
        <w:t>ent</w:t>
      </w:r>
      <w:r w:rsidR="00D72CA6">
        <w:t xml:space="preserve"> </w:t>
      </w:r>
      <w:r>
        <w:t>et</w:t>
      </w:r>
      <w:r w:rsidR="00D72CA6">
        <w:t xml:space="preserve"> </w:t>
      </w:r>
      <w:r>
        <w:t>du</w:t>
      </w:r>
      <w:r w:rsidR="00D72CA6">
        <w:t xml:space="preserve"> </w:t>
      </w:r>
      <w:r>
        <w:t>se</w:t>
      </w:r>
      <w:r>
        <w:rPr>
          <w:spacing w:val="1"/>
        </w:rPr>
        <w:t>r</w:t>
      </w:r>
      <w:r>
        <w:t>v</w:t>
      </w:r>
      <w:r>
        <w:rPr>
          <w:spacing w:val="1"/>
        </w:rPr>
        <w:t>i</w:t>
      </w:r>
      <w:r>
        <w:rPr>
          <w:spacing w:val="-1"/>
        </w:rPr>
        <w:t>c</w:t>
      </w:r>
      <w:r>
        <w:t>e</w:t>
      </w:r>
      <w:r w:rsidR="00D72CA6">
        <w:t xml:space="preserve"> </w:t>
      </w:r>
      <w:r>
        <w:t>ac</w:t>
      </w:r>
      <w:r>
        <w:rPr>
          <w:spacing w:val="-1"/>
        </w:rPr>
        <w:t>h</w:t>
      </w:r>
      <w:r>
        <w:t>e</w:t>
      </w:r>
      <w:r>
        <w:rPr>
          <w:spacing w:val="1"/>
        </w:rPr>
        <w:t>t</w:t>
      </w:r>
      <w:r>
        <w:t>eur</w:t>
      </w:r>
      <w:r>
        <w:rPr>
          <w:spacing w:val="-9"/>
        </w:rPr>
        <w:t xml:space="preserve"> :                                            </w:t>
      </w:r>
      <w:r w:rsidRPr="00011C95">
        <w:t>LYCEE GENERAL &amp; TECHNOLOGIQUE LOUIS ARMAND</w:t>
      </w:r>
      <w:r w:rsidR="009C6A71" w:rsidRPr="00011C95">
        <w:t xml:space="preserve">  </w:t>
      </w:r>
    </w:p>
    <w:p w:rsidR="00155BE9" w:rsidRPr="00011C95" w:rsidRDefault="00D92255">
      <w:r w:rsidRPr="00011C95">
        <w:t xml:space="preserve">507 avenue du beaujolais - </w:t>
      </w:r>
      <w:proofErr w:type="spellStart"/>
      <w:r w:rsidRPr="00011C95">
        <w:t>cs</w:t>
      </w:r>
      <w:proofErr w:type="spellEnd"/>
      <w:r w:rsidRPr="00011C95">
        <w:t xml:space="preserve"> 60402 GLEIZE</w:t>
      </w:r>
    </w:p>
    <w:p w:rsidR="00155BE9" w:rsidRDefault="00D92255">
      <w:r w:rsidRPr="00011C95">
        <w:t>69651 VILLEFRANCHE SUR SAONE Cedex</w:t>
      </w:r>
    </w:p>
    <w:p w:rsidR="00155BE9" w:rsidRDefault="00155BE9">
      <w:pPr>
        <w:rPr>
          <w:spacing w:val="-9"/>
        </w:rPr>
      </w:pPr>
    </w:p>
    <w:p w:rsidR="00155BE9" w:rsidRDefault="00D92255">
      <w:r>
        <w:t>Pe</w:t>
      </w:r>
      <w:r>
        <w:rPr>
          <w:spacing w:val="1"/>
        </w:rPr>
        <w:t>r</w:t>
      </w:r>
      <w:r>
        <w:t>sonne</w:t>
      </w:r>
      <w:r w:rsidR="00D72CA6">
        <w:t xml:space="preserve"> </w:t>
      </w:r>
      <w:r>
        <w:rPr>
          <w:spacing w:val="1"/>
        </w:rPr>
        <w:t>r</w:t>
      </w:r>
      <w:r>
        <w:rPr>
          <w:spacing w:val="-1"/>
        </w:rPr>
        <w:t>es</w:t>
      </w:r>
      <w:r>
        <w:t>ponsab</w:t>
      </w:r>
      <w:r>
        <w:rPr>
          <w:spacing w:val="1"/>
        </w:rPr>
        <w:t>l</w:t>
      </w:r>
      <w:r>
        <w:t>e</w:t>
      </w:r>
      <w:r w:rsidR="00D72CA6">
        <w:t xml:space="preserve"> </w:t>
      </w:r>
      <w:r>
        <w:t>du</w:t>
      </w:r>
      <w:r w:rsidR="00D72CA6">
        <w:t xml:space="preserve"> </w:t>
      </w:r>
      <w:r>
        <w:rPr>
          <w:spacing w:val="-2"/>
        </w:rPr>
        <w:t>m</w:t>
      </w:r>
      <w:r>
        <w:t>a</w:t>
      </w:r>
      <w:r>
        <w:rPr>
          <w:spacing w:val="1"/>
        </w:rPr>
        <w:t>r</w:t>
      </w:r>
      <w:r>
        <w:t>ché:</w:t>
      </w:r>
    </w:p>
    <w:p w:rsidR="00155BE9" w:rsidRDefault="00D92255">
      <w:pPr>
        <w:rPr>
          <w:spacing w:val="-1"/>
        </w:rPr>
      </w:pPr>
      <w:r>
        <w:t>M</w:t>
      </w:r>
      <w:r w:rsidR="009C6A71">
        <w:t>.</w:t>
      </w:r>
      <w:r>
        <w:t xml:space="preserve"> Marc FLECHER, P</w:t>
      </w:r>
      <w:r>
        <w:rPr>
          <w:spacing w:val="1"/>
        </w:rPr>
        <w:t>r</w:t>
      </w:r>
      <w:r>
        <w:rPr>
          <w:spacing w:val="-1"/>
        </w:rPr>
        <w:t>o</w:t>
      </w:r>
      <w:r>
        <w:t>v</w:t>
      </w:r>
      <w:r>
        <w:rPr>
          <w:spacing w:val="1"/>
        </w:rPr>
        <w:t>i</w:t>
      </w:r>
      <w:r>
        <w:t>seur</w:t>
      </w:r>
      <w:r w:rsidR="00D72CA6">
        <w:t xml:space="preserve"> </w:t>
      </w:r>
      <w:r>
        <w:t>du</w:t>
      </w:r>
      <w:r w:rsidR="00D72CA6">
        <w:t xml:space="preserve"> </w:t>
      </w:r>
      <w:r>
        <w:t>L</w:t>
      </w:r>
      <w:r>
        <w:rPr>
          <w:spacing w:val="-1"/>
        </w:rPr>
        <w:t>y</w:t>
      </w:r>
      <w:r>
        <w:t>cée</w:t>
      </w:r>
      <w:r>
        <w:rPr>
          <w:spacing w:val="-6"/>
        </w:rPr>
        <w:t xml:space="preserve"> L</w:t>
      </w:r>
      <w:r>
        <w:t>OUIS ARMAND</w:t>
      </w:r>
    </w:p>
    <w:p w:rsidR="00155BE9" w:rsidRDefault="00155BE9"/>
    <w:p w:rsidR="00155BE9" w:rsidRDefault="00D92255">
      <w:r>
        <w:t>C</w:t>
      </w:r>
      <w:r>
        <w:rPr>
          <w:spacing w:val="1"/>
        </w:rPr>
        <w:t>o</w:t>
      </w:r>
      <w:r>
        <w:rPr>
          <w:spacing w:val="-2"/>
        </w:rPr>
        <w:t>m</w:t>
      </w:r>
      <w:r>
        <w:t>p</w:t>
      </w:r>
      <w:r>
        <w:rPr>
          <w:spacing w:val="1"/>
        </w:rPr>
        <w:t>t</w:t>
      </w:r>
      <w:r>
        <w:t>ab</w:t>
      </w:r>
      <w:r>
        <w:rPr>
          <w:spacing w:val="1"/>
        </w:rPr>
        <w:t>l</w:t>
      </w:r>
      <w:r>
        <w:t>e</w:t>
      </w:r>
      <w:r w:rsidR="00D72CA6">
        <w:t xml:space="preserve"> </w:t>
      </w:r>
      <w:r>
        <w:rPr>
          <w:spacing w:val="-1"/>
        </w:rPr>
        <w:t>a</w:t>
      </w:r>
      <w:r>
        <w:t>ss</w:t>
      </w:r>
      <w:r>
        <w:rPr>
          <w:spacing w:val="1"/>
        </w:rPr>
        <w:t>i</w:t>
      </w:r>
      <w:r>
        <w:t>gna</w:t>
      </w:r>
      <w:r>
        <w:rPr>
          <w:spacing w:val="-1"/>
        </w:rPr>
        <w:t>t</w:t>
      </w:r>
      <w:r>
        <w:t>a</w:t>
      </w:r>
      <w:r>
        <w:rPr>
          <w:spacing w:val="-1"/>
        </w:rPr>
        <w:t>i</w:t>
      </w:r>
      <w:r>
        <w:rPr>
          <w:spacing w:val="1"/>
        </w:rPr>
        <w:t>r</w:t>
      </w:r>
      <w:r>
        <w:t>e:</w:t>
      </w:r>
    </w:p>
    <w:p w:rsidR="00155BE9" w:rsidRDefault="00D92255">
      <w:r>
        <w:t>Madame Marie-Annick FELER, Ag</w:t>
      </w:r>
      <w:r>
        <w:rPr>
          <w:spacing w:val="1"/>
        </w:rPr>
        <w:t>e</w:t>
      </w:r>
      <w:r>
        <w:t>nt</w:t>
      </w:r>
      <w:r w:rsidR="00D72CA6">
        <w:t xml:space="preserve"> </w:t>
      </w:r>
      <w:r>
        <w:t>C</w:t>
      </w:r>
      <w:r>
        <w:rPr>
          <w:spacing w:val="1"/>
        </w:rPr>
        <w:t>o</w:t>
      </w:r>
      <w:r>
        <w:rPr>
          <w:spacing w:val="-2"/>
        </w:rPr>
        <w:t>m</w:t>
      </w:r>
      <w:r>
        <w:t>p</w:t>
      </w:r>
      <w:r>
        <w:rPr>
          <w:spacing w:val="1"/>
        </w:rPr>
        <w:t>t</w:t>
      </w:r>
      <w:r>
        <w:t>ab</w:t>
      </w:r>
      <w:r>
        <w:rPr>
          <w:spacing w:val="-1"/>
        </w:rPr>
        <w:t>l</w:t>
      </w:r>
      <w:r>
        <w:t>e</w:t>
      </w:r>
      <w:r w:rsidR="00D72CA6">
        <w:t xml:space="preserve"> </w:t>
      </w:r>
      <w:r>
        <w:t>du</w:t>
      </w:r>
      <w:r w:rsidR="00D72CA6">
        <w:t xml:space="preserve"> </w:t>
      </w:r>
      <w:r>
        <w:t>Lycée</w:t>
      </w:r>
      <w:r>
        <w:rPr>
          <w:spacing w:val="-7"/>
        </w:rPr>
        <w:t xml:space="preserve"> L</w:t>
      </w:r>
      <w:r>
        <w:t>OUIS ARMAND</w:t>
      </w:r>
    </w:p>
    <w:p w:rsidR="00155BE9" w:rsidRDefault="00D92255">
      <w:pPr>
        <w:pStyle w:val="Titre3"/>
      </w:pPr>
      <w:r>
        <w:t>2.    Objet du marché public</w:t>
      </w:r>
    </w:p>
    <w:p w:rsidR="00155BE9" w:rsidRDefault="00D92255" w:rsidP="009C6A71">
      <w:pPr>
        <w:jc w:val="both"/>
      </w:pPr>
      <w:r>
        <w:t>L’objet du marché est l’achat d’une presse plieuse hydraulique 6 axes à commande numérique avec outillage de pliage. A l’acquisition de cette machine sont également associées son installation sur site, sa mise en service et la formation de collaborateurs.</w:t>
      </w:r>
    </w:p>
    <w:p w:rsidR="00155BE9" w:rsidRDefault="00D92255">
      <w:pPr>
        <w:pStyle w:val="Titre3"/>
      </w:pPr>
      <w:r>
        <w:t>3.    Allotissement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2"/>
        <w:gridCol w:w="7648"/>
      </w:tblGrid>
      <w:tr w:rsidR="00155BE9" w:rsidTr="009C6A71">
        <w:trPr>
          <w:tblCellSpacing w:w="0" w:type="dxa"/>
        </w:trPr>
        <w:tc>
          <w:tcPr>
            <w:tcW w:w="1362" w:type="dxa"/>
            <w:tcBorders>
              <w:top w:val="outset" w:sz="6" w:space="0" w:color="auto"/>
              <w:left w:val="outset" w:sz="6" w:space="0" w:color="auto"/>
              <w:bottom w:val="outset" w:sz="6" w:space="0" w:color="auto"/>
              <w:right w:val="outset" w:sz="6" w:space="0" w:color="auto"/>
            </w:tcBorders>
            <w:vAlign w:val="center"/>
            <w:hideMark/>
          </w:tcPr>
          <w:p w:rsidR="00155BE9" w:rsidRDefault="00D92255">
            <w:pPr>
              <w:pStyle w:val="NormalWeb"/>
            </w:pPr>
            <w:r>
              <w:rPr>
                <w:rFonts w:ascii="Verdana" w:hAnsi="Verdana"/>
              </w:rPr>
              <w:t>Lot n° 1</w:t>
            </w:r>
          </w:p>
        </w:tc>
        <w:tc>
          <w:tcPr>
            <w:tcW w:w="7648" w:type="dxa"/>
            <w:tcBorders>
              <w:top w:val="outset" w:sz="6" w:space="0" w:color="auto"/>
              <w:left w:val="outset" w:sz="6" w:space="0" w:color="auto"/>
              <w:bottom w:val="outset" w:sz="6" w:space="0" w:color="auto"/>
              <w:right w:val="outset" w:sz="6" w:space="0" w:color="auto"/>
            </w:tcBorders>
            <w:vAlign w:val="center"/>
            <w:hideMark/>
          </w:tcPr>
          <w:p w:rsidR="00155BE9" w:rsidRPr="009C6A71" w:rsidRDefault="009C6A71">
            <w:pPr>
              <w:pStyle w:val="NormalWeb"/>
              <w:rPr>
                <w:sz w:val="22"/>
                <w:szCs w:val="22"/>
              </w:rPr>
            </w:pPr>
            <w:r w:rsidRPr="009C6A71">
              <w:rPr>
                <w:rFonts w:ascii="Verdana" w:hAnsi="Verdana"/>
                <w:sz w:val="22"/>
                <w:szCs w:val="22"/>
              </w:rPr>
              <w:t>Achat, livraison, mise en service d’une presse plieuse hydraulique, formation de collaborateurs</w:t>
            </w:r>
          </w:p>
        </w:tc>
      </w:tr>
      <w:tr w:rsidR="00155BE9" w:rsidTr="009C6A71">
        <w:trPr>
          <w:tblCellSpacing w:w="0" w:type="dxa"/>
        </w:trPr>
        <w:tc>
          <w:tcPr>
            <w:tcW w:w="1362" w:type="dxa"/>
            <w:tcBorders>
              <w:top w:val="outset" w:sz="6" w:space="0" w:color="auto"/>
              <w:left w:val="outset" w:sz="6" w:space="0" w:color="auto"/>
              <w:bottom w:val="outset" w:sz="6" w:space="0" w:color="auto"/>
              <w:right w:val="outset" w:sz="6" w:space="0" w:color="auto"/>
            </w:tcBorders>
            <w:vAlign w:val="center"/>
            <w:hideMark/>
          </w:tcPr>
          <w:p w:rsidR="00155BE9" w:rsidRDefault="00D92255">
            <w:pPr>
              <w:pStyle w:val="NormalWeb"/>
            </w:pPr>
            <w:r>
              <w:rPr>
                <w:rFonts w:ascii="Verdana" w:hAnsi="Verdana"/>
              </w:rPr>
              <w:t>Lot n° 2</w:t>
            </w:r>
          </w:p>
        </w:tc>
        <w:tc>
          <w:tcPr>
            <w:tcW w:w="7648" w:type="dxa"/>
            <w:tcBorders>
              <w:top w:val="outset" w:sz="6" w:space="0" w:color="auto"/>
              <w:left w:val="outset" w:sz="6" w:space="0" w:color="auto"/>
              <w:bottom w:val="outset" w:sz="6" w:space="0" w:color="auto"/>
              <w:right w:val="outset" w:sz="6" w:space="0" w:color="auto"/>
            </w:tcBorders>
            <w:vAlign w:val="center"/>
            <w:hideMark/>
          </w:tcPr>
          <w:p w:rsidR="00155BE9" w:rsidRPr="009C6A71" w:rsidRDefault="0093592A">
            <w:pPr>
              <w:pStyle w:val="NormalWeb"/>
              <w:rPr>
                <w:sz w:val="22"/>
                <w:szCs w:val="22"/>
              </w:rPr>
            </w:pPr>
            <w:r w:rsidRPr="0093592A">
              <w:rPr>
                <w:rFonts w:ascii="Verdana" w:hAnsi="Verdana"/>
                <w:sz w:val="22"/>
                <w:szCs w:val="22"/>
              </w:rPr>
              <w:t>Outillages de pliage (poinçon, matrice) fragmentés</w:t>
            </w:r>
          </w:p>
        </w:tc>
      </w:tr>
    </w:tbl>
    <w:p w:rsidR="00155BE9" w:rsidRPr="009C6A71" w:rsidRDefault="00D92255">
      <w:pPr>
        <w:pStyle w:val="NormalWeb"/>
      </w:pPr>
      <w:r w:rsidRPr="009C6A71">
        <w:rPr>
          <w:rFonts w:ascii="Verdana" w:hAnsi="Verdana"/>
          <w:color w:val="000000"/>
          <w:sz w:val="18"/>
          <w:szCs w:val="18"/>
        </w:rPr>
        <w:t xml:space="preserve">L’opérateur économique peut présenter une offre pour </w:t>
      </w:r>
      <w:r w:rsidR="009C6A71">
        <w:rPr>
          <w:rFonts w:ascii="Verdana" w:hAnsi="Verdana"/>
          <w:color w:val="000000"/>
          <w:sz w:val="18"/>
          <w:szCs w:val="18"/>
        </w:rPr>
        <w:t>t</w:t>
      </w:r>
      <w:r w:rsidRPr="009C6A71">
        <w:rPr>
          <w:rFonts w:ascii="Verdana" w:hAnsi="Verdana"/>
          <w:color w:val="000000"/>
          <w:sz w:val="18"/>
          <w:szCs w:val="18"/>
        </w:rPr>
        <w:t xml:space="preserve">ous les lots </w:t>
      </w:r>
      <w:r w:rsidR="009C6A71">
        <w:rPr>
          <w:rFonts w:ascii="Verdana" w:hAnsi="Verdana"/>
          <w:color w:val="000000"/>
          <w:sz w:val="18"/>
          <w:szCs w:val="18"/>
        </w:rPr>
        <w:t>ou un seul lot.</w:t>
      </w:r>
    </w:p>
    <w:p w:rsidR="00155BE9" w:rsidRPr="009C6A71" w:rsidRDefault="009C6A71">
      <w:pPr>
        <w:pStyle w:val="NormalWeb"/>
      </w:pPr>
      <w:r>
        <w:rPr>
          <w:rFonts w:ascii="Verdana" w:hAnsi="Verdana"/>
          <w:color w:val="000000"/>
          <w:sz w:val="18"/>
          <w:szCs w:val="18"/>
        </w:rPr>
        <w:t>Tous les l</w:t>
      </w:r>
      <w:r w:rsidR="00D92255" w:rsidRPr="009C6A71">
        <w:rPr>
          <w:rFonts w:ascii="Verdana" w:hAnsi="Verdana"/>
          <w:color w:val="000000"/>
          <w:sz w:val="18"/>
          <w:szCs w:val="18"/>
        </w:rPr>
        <w:t>ots p</w:t>
      </w:r>
      <w:r w:rsidR="00FD5AC4">
        <w:rPr>
          <w:rFonts w:ascii="Verdana" w:hAnsi="Verdana"/>
          <w:color w:val="000000"/>
          <w:sz w:val="18"/>
          <w:szCs w:val="18"/>
        </w:rPr>
        <w:t>e</w:t>
      </w:r>
      <w:r w:rsidR="00D92255" w:rsidRPr="009C6A71">
        <w:rPr>
          <w:rFonts w:ascii="Verdana" w:hAnsi="Verdana"/>
          <w:color w:val="000000"/>
          <w:sz w:val="18"/>
          <w:szCs w:val="18"/>
        </w:rPr>
        <w:t>uv</w:t>
      </w:r>
      <w:r w:rsidR="00FD5AC4">
        <w:rPr>
          <w:rFonts w:ascii="Verdana" w:hAnsi="Verdana"/>
          <w:color w:val="000000"/>
          <w:sz w:val="18"/>
          <w:szCs w:val="18"/>
        </w:rPr>
        <w:t>e</w:t>
      </w:r>
      <w:r w:rsidR="00D92255" w:rsidRPr="009C6A71">
        <w:rPr>
          <w:rFonts w:ascii="Verdana" w:hAnsi="Verdana"/>
          <w:color w:val="000000"/>
          <w:sz w:val="18"/>
          <w:szCs w:val="18"/>
        </w:rPr>
        <w:t>nt être attribués à un même opérateur économique</w:t>
      </w:r>
      <w:r>
        <w:rPr>
          <w:rFonts w:ascii="Verdana" w:hAnsi="Verdana"/>
          <w:color w:val="000000"/>
          <w:sz w:val="18"/>
          <w:szCs w:val="18"/>
        </w:rPr>
        <w:t>.</w:t>
      </w:r>
    </w:p>
    <w:p w:rsidR="00155BE9" w:rsidRDefault="00D92255">
      <w:pPr>
        <w:pStyle w:val="Titre3"/>
        <w:rPr>
          <w:rFonts w:eastAsia="Times New Roman"/>
        </w:rPr>
      </w:pPr>
      <w:r>
        <w:rPr>
          <w:rFonts w:eastAsia="Times New Roman"/>
        </w:rPr>
        <w:t>4.    Marché à tranches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3"/>
        <w:gridCol w:w="5757"/>
      </w:tblGrid>
      <w:tr w:rsidR="00155BE9">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55BE9" w:rsidRDefault="009C6A71">
            <w:pPr>
              <w:rPr>
                <w:rFonts w:eastAsiaTheme="minorEastAsia"/>
              </w:rPr>
            </w:pPr>
            <w:r>
              <w:t>Sans objet</w:t>
            </w:r>
          </w:p>
        </w:tc>
        <w:tc>
          <w:tcPr>
            <w:tcW w:w="5757" w:type="dxa"/>
            <w:tcBorders>
              <w:top w:val="outset" w:sz="6" w:space="0" w:color="auto"/>
              <w:left w:val="outset" w:sz="6" w:space="0" w:color="auto"/>
              <w:bottom w:val="outset" w:sz="6" w:space="0" w:color="auto"/>
              <w:right w:val="outset" w:sz="6" w:space="0" w:color="auto"/>
            </w:tcBorders>
            <w:vAlign w:val="center"/>
            <w:hideMark/>
          </w:tcPr>
          <w:p w:rsidR="00155BE9" w:rsidRDefault="00D92255">
            <w:r>
              <w:t> </w:t>
            </w:r>
          </w:p>
        </w:tc>
      </w:tr>
    </w:tbl>
    <w:p w:rsidR="00155BE9" w:rsidRDefault="00D92255">
      <w:pPr>
        <w:pStyle w:val="Titre3"/>
        <w:rPr>
          <w:rFonts w:eastAsia="Times New Roman"/>
        </w:rPr>
      </w:pPr>
      <w:r>
        <w:rPr>
          <w:rFonts w:eastAsia="Times New Roman"/>
        </w:rPr>
        <w:t>5.    Procédure de passation</w:t>
      </w:r>
    </w:p>
    <w:p w:rsidR="009C6A71" w:rsidRDefault="00D92255">
      <w:pPr>
        <w:pStyle w:val="NormalWeb"/>
        <w:rPr>
          <w:rFonts w:ascii="Verdana" w:hAnsi="Verdana"/>
          <w:color w:val="000000"/>
          <w:sz w:val="18"/>
          <w:szCs w:val="18"/>
        </w:rPr>
      </w:pPr>
      <w:r>
        <w:rPr>
          <w:rFonts w:ascii="Verdana" w:hAnsi="Verdana"/>
          <w:color w:val="000000"/>
          <w:sz w:val="18"/>
          <w:szCs w:val="18"/>
        </w:rPr>
        <w:t>Procédure adaptée (art. L. 2123-1 et R. 2123-1 et suivants du code de la commande publique).</w:t>
      </w:r>
    </w:p>
    <w:p w:rsidR="009C6A71" w:rsidRDefault="009C6A71">
      <w:pPr>
        <w:rPr>
          <w:rFonts w:ascii="Verdana" w:eastAsiaTheme="minorEastAsia" w:hAnsi="Verdana"/>
          <w:color w:val="000000"/>
          <w:sz w:val="18"/>
          <w:szCs w:val="18"/>
        </w:rPr>
      </w:pPr>
      <w:r>
        <w:rPr>
          <w:rFonts w:ascii="Verdana" w:hAnsi="Verdana"/>
          <w:color w:val="000000"/>
          <w:sz w:val="18"/>
          <w:szCs w:val="18"/>
        </w:rPr>
        <w:br w:type="page"/>
      </w:r>
    </w:p>
    <w:p w:rsidR="00155BE9" w:rsidRDefault="00D92255">
      <w:pPr>
        <w:pStyle w:val="Titre3"/>
        <w:rPr>
          <w:rFonts w:eastAsia="Times New Roman"/>
        </w:rPr>
      </w:pPr>
      <w:r>
        <w:rPr>
          <w:rFonts w:eastAsia="Times New Roman"/>
        </w:rPr>
        <w:lastRenderedPageBreak/>
        <w:t>6.    Visite sur site</w:t>
      </w:r>
    </w:p>
    <w:p w:rsidR="00155BE9" w:rsidRDefault="00D92255">
      <w:pPr>
        <w:pStyle w:val="NormalWeb"/>
      </w:pPr>
      <w:r>
        <w:rPr>
          <w:rFonts w:ascii="Verdana" w:hAnsi="Verdana"/>
          <w:color w:val="000000"/>
          <w:sz w:val="18"/>
          <w:szCs w:val="18"/>
        </w:rPr>
        <w:t>Une visite obligatoire est prévue</w:t>
      </w:r>
      <w:r w:rsidR="009C6A71">
        <w:rPr>
          <w:rFonts w:ascii="Verdana" w:hAnsi="Verdana"/>
          <w:color w:val="000000"/>
          <w:sz w:val="18"/>
          <w:szCs w:val="18"/>
        </w:rPr>
        <w:t xml:space="preserve"> pour le lot n°1</w:t>
      </w:r>
      <w:r>
        <w:rPr>
          <w:rFonts w:ascii="Verdana" w:hAnsi="Verdana"/>
          <w:color w:val="000000"/>
          <w:sz w:val="18"/>
          <w:szCs w:val="18"/>
        </w:rPr>
        <w:t xml:space="preserve"> et conditionne la recevabilité de la candidature.</w:t>
      </w:r>
    </w:p>
    <w:p w:rsidR="00155BE9" w:rsidRDefault="009C6A71">
      <w:pPr>
        <w:pStyle w:val="NormalWeb"/>
      </w:pPr>
      <w:r>
        <w:rPr>
          <w:rFonts w:ascii="Verdana" w:hAnsi="Verdana"/>
          <w:color w:val="000000"/>
          <w:sz w:val="18"/>
          <w:szCs w:val="18"/>
        </w:rPr>
        <w:t xml:space="preserve">Pour organiser sa visite le candidat devra </w:t>
      </w:r>
      <w:r w:rsidR="00D92255">
        <w:rPr>
          <w:rFonts w:ascii="Verdana" w:hAnsi="Verdana"/>
          <w:color w:val="000000"/>
          <w:sz w:val="18"/>
          <w:szCs w:val="18"/>
        </w:rPr>
        <w:t xml:space="preserve">prendre </w:t>
      </w:r>
      <w:r>
        <w:rPr>
          <w:rFonts w:ascii="Verdana" w:hAnsi="Verdana"/>
          <w:color w:val="000000"/>
          <w:sz w:val="18"/>
          <w:szCs w:val="18"/>
        </w:rPr>
        <w:t>attache a</w:t>
      </w:r>
      <w:r w:rsidR="00D92255">
        <w:rPr>
          <w:rFonts w:ascii="Verdana" w:hAnsi="Verdana"/>
          <w:color w:val="000000"/>
          <w:sz w:val="18"/>
          <w:szCs w:val="18"/>
        </w:rPr>
        <w:t xml:space="preserve">uprès de : </w:t>
      </w:r>
      <w:r>
        <w:rPr>
          <w:rFonts w:ascii="Verdana" w:hAnsi="Verdana"/>
          <w:color w:val="000000"/>
          <w:sz w:val="18"/>
          <w:szCs w:val="18"/>
        </w:rPr>
        <w:t>Pascal PETIT, Directeur délégué aux formations, pascal.petit@ac-lyon.fr</w:t>
      </w:r>
    </w:p>
    <w:p w:rsidR="00155BE9" w:rsidRDefault="00D92255">
      <w:pPr>
        <w:pStyle w:val="NormalWeb"/>
      </w:pPr>
      <w:r>
        <w:rPr>
          <w:rFonts w:ascii="Verdana" w:hAnsi="Verdana"/>
          <w:color w:val="000000"/>
          <w:sz w:val="18"/>
          <w:szCs w:val="18"/>
        </w:rPr>
        <w:t>Aucune indemnité ni frais de déplacement n’est prévu.</w:t>
      </w:r>
    </w:p>
    <w:p w:rsidR="00155BE9" w:rsidRDefault="00D92255">
      <w:pPr>
        <w:pStyle w:val="Titre3"/>
        <w:rPr>
          <w:rFonts w:eastAsia="Times New Roman"/>
        </w:rPr>
      </w:pPr>
      <w:r>
        <w:rPr>
          <w:rFonts w:eastAsia="Times New Roman"/>
        </w:rPr>
        <w:t>7.    Délai de validité des offres</w:t>
      </w:r>
    </w:p>
    <w:p w:rsidR="00155BE9" w:rsidRDefault="00D92255">
      <w:pPr>
        <w:pStyle w:val="NormalWeb"/>
      </w:pPr>
      <w:r>
        <w:rPr>
          <w:rFonts w:ascii="Verdana" w:hAnsi="Verdana"/>
          <w:color w:val="000000"/>
          <w:sz w:val="18"/>
          <w:szCs w:val="18"/>
        </w:rPr>
        <w:t>Aucun délai de validité des offres n’est prévu</w:t>
      </w:r>
      <w:r w:rsidR="009C6A71">
        <w:rPr>
          <w:rFonts w:ascii="Verdana" w:hAnsi="Verdana"/>
          <w:color w:val="000000"/>
          <w:sz w:val="18"/>
          <w:szCs w:val="18"/>
        </w:rPr>
        <w:t>, l’offre est considérée comme ferme et défin</w:t>
      </w:r>
      <w:r w:rsidR="00D72CA6">
        <w:rPr>
          <w:rFonts w:ascii="Verdana" w:hAnsi="Verdana"/>
          <w:color w:val="000000"/>
          <w:sz w:val="18"/>
          <w:szCs w:val="18"/>
        </w:rPr>
        <w:t>i</w:t>
      </w:r>
      <w:r w:rsidR="009C6A71">
        <w:rPr>
          <w:rFonts w:ascii="Verdana" w:hAnsi="Verdana"/>
          <w:color w:val="000000"/>
          <w:sz w:val="18"/>
          <w:szCs w:val="18"/>
        </w:rPr>
        <w:t>tive</w:t>
      </w:r>
      <w:r>
        <w:rPr>
          <w:rFonts w:ascii="Verdana" w:hAnsi="Verdana"/>
          <w:color w:val="000000"/>
          <w:sz w:val="18"/>
          <w:szCs w:val="18"/>
        </w:rPr>
        <w:t>.</w:t>
      </w:r>
    </w:p>
    <w:p w:rsidR="00155BE9" w:rsidRDefault="00D92255">
      <w:pPr>
        <w:pStyle w:val="Titre3"/>
        <w:rPr>
          <w:rFonts w:eastAsia="Times New Roman"/>
        </w:rPr>
      </w:pPr>
      <w:r>
        <w:rPr>
          <w:rFonts w:eastAsia="Times New Roman"/>
        </w:rPr>
        <w:t>8.    Les Documents de la consultation (DC)</w:t>
      </w:r>
    </w:p>
    <w:p w:rsidR="00155BE9" w:rsidRPr="00EB4394" w:rsidRDefault="00D92255">
      <w:pPr>
        <w:pStyle w:val="NormalWeb"/>
      </w:pPr>
      <w:r w:rsidRPr="00EB4394">
        <w:rPr>
          <w:rFonts w:ascii="Verdana" w:hAnsi="Verdana"/>
          <w:b/>
          <w:bCs/>
          <w:color w:val="000000"/>
          <w:sz w:val="18"/>
          <w:szCs w:val="18"/>
        </w:rPr>
        <w:t>Contenu des DC.</w:t>
      </w:r>
    </w:p>
    <w:p w:rsidR="00155BE9" w:rsidRPr="00EB4394" w:rsidRDefault="00D92255">
      <w:pPr>
        <w:pStyle w:val="NormalWeb"/>
      </w:pPr>
      <w:r w:rsidRPr="00EB4394">
        <w:rPr>
          <w:rFonts w:ascii="Verdana" w:hAnsi="Verdana"/>
          <w:color w:val="000000"/>
          <w:sz w:val="18"/>
          <w:szCs w:val="18"/>
        </w:rPr>
        <w:t>×      Le présent Règlement de Consultation (RC)</w:t>
      </w:r>
    </w:p>
    <w:p w:rsidR="00155BE9" w:rsidRPr="00EB4394" w:rsidRDefault="00D92255">
      <w:pPr>
        <w:pStyle w:val="NormalWeb"/>
      </w:pPr>
      <w:r w:rsidRPr="00EB4394">
        <w:rPr>
          <w:rFonts w:ascii="Verdana" w:hAnsi="Verdana"/>
          <w:color w:val="000000"/>
          <w:sz w:val="18"/>
          <w:szCs w:val="18"/>
        </w:rPr>
        <w:t>×      Le Cahier des Clauses Administratives Particulières (CCAP)</w:t>
      </w:r>
    </w:p>
    <w:p w:rsidR="00155BE9" w:rsidRPr="00EB4394" w:rsidRDefault="00D92255">
      <w:pPr>
        <w:pStyle w:val="NormalWeb"/>
      </w:pPr>
      <w:r w:rsidRPr="00EB4394">
        <w:rPr>
          <w:rFonts w:ascii="Verdana" w:hAnsi="Verdana"/>
          <w:color w:val="000000"/>
          <w:sz w:val="18"/>
          <w:szCs w:val="18"/>
        </w:rPr>
        <w:t>×      Le Cahier des Clauses Techniques Particulières (CCTP)</w:t>
      </w:r>
    </w:p>
    <w:p w:rsidR="00155BE9" w:rsidRPr="00011C95" w:rsidRDefault="00D92255">
      <w:pPr>
        <w:pStyle w:val="NormalWeb"/>
      </w:pPr>
      <w:r w:rsidRPr="00011C95">
        <w:rPr>
          <w:rFonts w:ascii="Verdana" w:hAnsi="Verdana"/>
          <w:color w:val="000000"/>
          <w:sz w:val="18"/>
          <w:szCs w:val="18"/>
        </w:rPr>
        <w:t>×      </w:t>
      </w:r>
      <w:r w:rsidRPr="00011C95">
        <w:rPr>
          <w:rFonts w:ascii="Verdana" w:hAnsi="Verdana"/>
          <w:i/>
          <w:iCs/>
          <w:color w:val="000000"/>
          <w:sz w:val="18"/>
          <w:szCs w:val="18"/>
        </w:rPr>
        <w:t>Le formulaire DC1 « Lettre de candidature »</w:t>
      </w:r>
    </w:p>
    <w:p w:rsidR="00155BE9" w:rsidRPr="00011C95" w:rsidRDefault="00D92255">
      <w:pPr>
        <w:pStyle w:val="NormalWeb"/>
      </w:pPr>
      <w:r w:rsidRPr="00011C95">
        <w:rPr>
          <w:rFonts w:ascii="Verdana" w:hAnsi="Verdana"/>
          <w:color w:val="000000"/>
          <w:sz w:val="18"/>
          <w:szCs w:val="18"/>
        </w:rPr>
        <w:t>×      </w:t>
      </w:r>
      <w:r w:rsidRPr="00011C95">
        <w:rPr>
          <w:rFonts w:ascii="Verdana" w:hAnsi="Verdana"/>
          <w:i/>
          <w:iCs/>
          <w:color w:val="000000"/>
          <w:sz w:val="18"/>
          <w:szCs w:val="18"/>
        </w:rPr>
        <w:t>Le formulaire DC2 « Déclaration du candidat individuel ou membre du groupement »</w:t>
      </w:r>
    </w:p>
    <w:p w:rsidR="00155BE9" w:rsidRDefault="00D92255">
      <w:pPr>
        <w:pStyle w:val="NormalWeb"/>
      </w:pPr>
      <w:r>
        <w:rPr>
          <w:rFonts w:ascii="Verdana" w:hAnsi="Verdana"/>
          <w:color w:val="000000"/>
          <w:sz w:val="18"/>
          <w:szCs w:val="18"/>
        </w:rPr>
        <w:t> </w:t>
      </w:r>
    </w:p>
    <w:p w:rsidR="00155BE9" w:rsidRPr="00EB4394" w:rsidRDefault="00EB4394" w:rsidP="00EB4394">
      <w:pPr>
        <w:pStyle w:val="Titre3"/>
        <w:rPr>
          <w:rFonts w:eastAsia="Times New Roman"/>
        </w:rPr>
      </w:pPr>
      <w:r w:rsidRPr="00EB4394">
        <w:rPr>
          <w:rFonts w:eastAsia="Times New Roman"/>
        </w:rPr>
        <w:t xml:space="preserve">9. </w:t>
      </w:r>
      <w:r w:rsidR="00D92255" w:rsidRPr="00EB4394">
        <w:rPr>
          <w:rFonts w:eastAsia="Times New Roman"/>
        </w:rPr>
        <w:t>Téléchargement des DC. </w:t>
      </w:r>
    </w:p>
    <w:p w:rsidR="00155BE9" w:rsidRDefault="00D92255">
      <w:pPr>
        <w:pStyle w:val="NormalWeb"/>
      </w:pPr>
      <w:r w:rsidRPr="006225BF">
        <w:rPr>
          <w:rFonts w:ascii="Verdana" w:hAnsi="Verdana"/>
          <w:color w:val="000000"/>
          <w:sz w:val="18"/>
          <w:szCs w:val="18"/>
        </w:rPr>
        <w:t xml:space="preserve">Sur le profil d’acheteur : </w:t>
      </w:r>
      <w:r w:rsidR="006225BF">
        <w:rPr>
          <w:rFonts w:ascii="Verdana" w:hAnsi="Verdana"/>
          <w:color w:val="000000"/>
          <w:sz w:val="18"/>
          <w:szCs w:val="18"/>
        </w:rPr>
        <w:t>site AJI</w:t>
      </w:r>
    </w:p>
    <w:p w:rsidR="00155BE9" w:rsidRDefault="00D92255" w:rsidP="00340457">
      <w:pPr>
        <w:pStyle w:val="NormalWeb"/>
        <w:jc w:val="both"/>
      </w:pPr>
      <w:r>
        <w:rPr>
          <w:rFonts w:ascii="Verdana" w:hAnsi="Verdana"/>
          <w:b/>
          <w:bCs/>
          <w:color w:val="000000"/>
          <w:sz w:val="18"/>
          <w:szCs w:val="18"/>
        </w:rPr>
        <w:t>Modifications de détails aux DC. </w:t>
      </w:r>
      <w:r>
        <w:rPr>
          <w:rFonts w:ascii="Verdana" w:hAnsi="Verdana"/>
          <w:color w:val="000000"/>
          <w:sz w:val="18"/>
          <w:szCs w:val="18"/>
        </w:rPr>
        <w:t>L’acheteur se réserve le droit d'apporter, en les portant à la connaissance des candidats au plus tard 6 jours avant la date limite de remise des candidatures et des offres, des modifications de détail aux documents de la consultation.</w:t>
      </w:r>
    </w:p>
    <w:p w:rsidR="00155BE9" w:rsidRDefault="00D92255" w:rsidP="00340457">
      <w:pPr>
        <w:pStyle w:val="NormalWeb"/>
        <w:jc w:val="both"/>
      </w:pPr>
      <w:r>
        <w:rPr>
          <w:rFonts w:ascii="Verdana" w:hAnsi="Verdana"/>
          <w:color w:val="000000"/>
          <w:sz w:val="18"/>
          <w:szCs w:val="18"/>
        </w:rPr>
        <w:t>Ces modifications seront notifiées en temps utile sur les supports de publication.</w:t>
      </w:r>
    </w:p>
    <w:p w:rsidR="00155BE9" w:rsidRDefault="00D92255" w:rsidP="00340457">
      <w:pPr>
        <w:pStyle w:val="NormalWeb"/>
        <w:jc w:val="both"/>
      </w:pPr>
      <w:r>
        <w:rPr>
          <w:rFonts w:ascii="Verdana" w:hAnsi="Verdana"/>
          <w:color w:val="000000"/>
          <w:sz w:val="18"/>
          <w:szCs w:val="18"/>
        </w:rPr>
        <w:t>Les candidats devront alors répondre sur cette nouvelle base sans pouvoir émettre de réclamation à ce sujet.</w:t>
      </w:r>
    </w:p>
    <w:p w:rsidR="00155BE9" w:rsidRDefault="00D92255">
      <w:pPr>
        <w:pStyle w:val="Titre3"/>
        <w:rPr>
          <w:rFonts w:eastAsia="Times New Roman"/>
        </w:rPr>
      </w:pPr>
      <w:r>
        <w:rPr>
          <w:rFonts w:eastAsia="Times New Roman"/>
        </w:rPr>
        <w:t>10.         Candidature</w:t>
      </w:r>
      <w:r w:rsidR="002C57FE">
        <w:rPr>
          <w:rFonts w:eastAsia="Times New Roman"/>
        </w:rPr>
        <w:t xml:space="preserve"> et offre</w:t>
      </w:r>
    </w:p>
    <w:p w:rsidR="00EB4394" w:rsidRDefault="00EB4394" w:rsidP="00EB4394">
      <w:pPr>
        <w:pStyle w:val="NormalWeb"/>
        <w:shd w:val="clear" w:color="auto" w:fill="FFFFFF" w:themeFill="background1"/>
        <w:rPr>
          <w:rFonts w:ascii="Verdana" w:hAnsi="Verdana"/>
          <w:b/>
          <w:bCs/>
          <w:color w:val="000000"/>
          <w:sz w:val="18"/>
          <w:szCs w:val="18"/>
        </w:rPr>
      </w:pPr>
    </w:p>
    <w:p w:rsidR="00155BE9" w:rsidRPr="00EB4394" w:rsidRDefault="00D92255" w:rsidP="00EB4394">
      <w:pPr>
        <w:pStyle w:val="NormalWeb"/>
        <w:shd w:val="clear" w:color="auto" w:fill="FFFFFF" w:themeFill="background1"/>
        <w:rPr>
          <w:rFonts w:ascii="Verdana" w:hAnsi="Verdana"/>
          <w:b/>
          <w:bCs/>
          <w:color w:val="000000"/>
          <w:sz w:val="18"/>
          <w:szCs w:val="18"/>
        </w:rPr>
      </w:pPr>
      <w:r w:rsidRPr="00EB4394">
        <w:rPr>
          <w:rFonts w:ascii="Verdana" w:hAnsi="Verdana"/>
          <w:b/>
          <w:bCs/>
          <w:color w:val="000000"/>
          <w:sz w:val="18"/>
          <w:szCs w:val="18"/>
        </w:rPr>
        <w:t>10.</w:t>
      </w:r>
      <w:r w:rsidR="00EB4394" w:rsidRPr="00EB4394">
        <w:rPr>
          <w:rFonts w:ascii="Verdana" w:hAnsi="Verdana"/>
          <w:b/>
          <w:bCs/>
          <w:color w:val="000000"/>
          <w:sz w:val="18"/>
          <w:szCs w:val="18"/>
        </w:rPr>
        <w:t>1</w:t>
      </w:r>
      <w:r w:rsidRPr="00EB4394">
        <w:rPr>
          <w:rFonts w:ascii="Verdana" w:hAnsi="Verdana"/>
          <w:b/>
          <w:bCs/>
          <w:color w:val="000000"/>
          <w:sz w:val="18"/>
          <w:szCs w:val="18"/>
        </w:rPr>
        <w:t xml:space="preserve"> - Transmission du dossier </w:t>
      </w:r>
      <w:r w:rsidR="00EB4394" w:rsidRPr="00EB4394">
        <w:rPr>
          <w:rFonts w:ascii="Verdana" w:hAnsi="Verdana"/>
          <w:b/>
          <w:bCs/>
          <w:color w:val="000000"/>
          <w:sz w:val="18"/>
          <w:szCs w:val="18"/>
        </w:rPr>
        <w:t>réponse</w:t>
      </w:r>
    </w:p>
    <w:p w:rsidR="00EB4394" w:rsidRDefault="00EB4394" w:rsidP="00EB4394">
      <w:pPr>
        <w:pStyle w:val="NormalWeb"/>
      </w:pPr>
      <w:r>
        <w:rPr>
          <w:rFonts w:ascii="Verdana" w:hAnsi="Verdana"/>
          <w:b/>
          <w:bCs/>
          <w:color w:val="000000"/>
          <w:sz w:val="18"/>
          <w:szCs w:val="18"/>
        </w:rPr>
        <w:t>Langue</w:t>
      </w:r>
      <w:r>
        <w:rPr>
          <w:rFonts w:ascii="Verdana" w:hAnsi="Verdana"/>
          <w:color w:val="000000"/>
          <w:sz w:val="18"/>
          <w:szCs w:val="18"/>
        </w:rPr>
        <w:t>. Les pièces sont rédigées en langue française.</w:t>
      </w:r>
    </w:p>
    <w:p w:rsidR="00155BE9" w:rsidRPr="00EB4394" w:rsidRDefault="00D92255" w:rsidP="00EB4394">
      <w:pPr>
        <w:pStyle w:val="NormalWeb"/>
        <w:shd w:val="clear" w:color="auto" w:fill="FFFFFF" w:themeFill="background1"/>
      </w:pPr>
      <w:r w:rsidRPr="00EB4394">
        <w:rPr>
          <w:rFonts w:ascii="Verdana" w:hAnsi="Verdana"/>
          <w:color w:val="000000"/>
          <w:sz w:val="18"/>
          <w:szCs w:val="18"/>
        </w:rPr>
        <w:t>Les candidats auront à produire un dossier complet comprenant les pièces indiquées ci-dessous.</w:t>
      </w:r>
    </w:p>
    <w:p w:rsidR="00155BE9" w:rsidRPr="00011C95" w:rsidRDefault="00D92255">
      <w:pPr>
        <w:pStyle w:val="NormalWeb"/>
      </w:pPr>
      <w:r w:rsidRPr="00011C95">
        <w:rPr>
          <w:rFonts w:ascii="Verdana" w:hAnsi="Verdana"/>
          <w:color w:val="000000"/>
          <w:sz w:val="18"/>
          <w:szCs w:val="18"/>
        </w:rPr>
        <w:t>×      Le formulaire DC1 - « Lettre de Candidature »</w:t>
      </w:r>
    </w:p>
    <w:p w:rsidR="00155BE9" w:rsidRPr="00011C95" w:rsidRDefault="00D92255">
      <w:pPr>
        <w:pStyle w:val="NormalWeb"/>
      </w:pPr>
      <w:r w:rsidRPr="00011C95">
        <w:rPr>
          <w:rFonts w:ascii="Verdana" w:hAnsi="Verdana"/>
          <w:color w:val="000000"/>
          <w:sz w:val="18"/>
          <w:szCs w:val="18"/>
        </w:rPr>
        <w:lastRenderedPageBreak/>
        <w:t>×      Le formulaire DC2 - « Déclaration du Candidat »</w:t>
      </w:r>
    </w:p>
    <w:p w:rsidR="00155BE9" w:rsidRPr="00011C95" w:rsidRDefault="00D92255">
      <w:pPr>
        <w:pStyle w:val="NormalWeb"/>
      </w:pPr>
      <w:r w:rsidRPr="00011C95">
        <w:rPr>
          <w:rFonts w:ascii="Verdana" w:hAnsi="Verdana"/>
          <w:color w:val="000000"/>
          <w:sz w:val="18"/>
          <w:szCs w:val="18"/>
        </w:rPr>
        <w:t>×      L’ordonnance de jugement si le candidat est en cours de redressement judiciaire</w:t>
      </w:r>
    </w:p>
    <w:p w:rsidR="00155BE9" w:rsidRPr="00EB4394" w:rsidRDefault="00D92255">
      <w:pPr>
        <w:pStyle w:val="NormalWeb"/>
      </w:pPr>
      <w:r w:rsidRPr="00EB4394">
        <w:rPr>
          <w:rFonts w:ascii="Verdana" w:hAnsi="Verdana"/>
          <w:color w:val="000000"/>
          <w:sz w:val="18"/>
          <w:szCs w:val="18"/>
        </w:rPr>
        <w:t>×      L'attestation de visite du site délivrée lors de la visite (si visite obligatoire)</w:t>
      </w:r>
    </w:p>
    <w:p w:rsidR="00155BE9" w:rsidRPr="00EB4394" w:rsidRDefault="00D92255">
      <w:pPr>
        <w:pStyle w:val="NormalWeb"/>
      </w:pPr>
      <w:r w:rsidRPr="00EB4394">
        <w:rPr>
          <w:rFonts w:ascii="Verdana" w:hAnsi="Verdana"/>
          <w:color w:val="000000"/>
          <w:sz w:val="18"/>
          <w:szCs w:val="18"/>
        </w:rPr>
        <w:t xml:space="preserve">×      Attestation </w:t>
      </w:r>
      <w:r w:rsidR="00011C95" w:rsidRPr="00EB4394">
        <w:rPr>
          <w:rFonts w:ascii="Verdana" w:hAnsi="Verdana"/>
          <w:color w:val="000000"/>
          <w:sz w:val="18"/>
          <w:szCs w:val="18"/>
        </w:rPr>
        <w:t>d’assurance multirisque professionnelle</w:t>
      </w:r>
      <w:r w:rsidRPr="00EB4394">
        <w:rPr>
          <w:rFonts w:ascii="Verdana" w:hAnsi="Verdana"/>
          <w:color w:val="000000"/>
          <w:sz w:val="18"/>
          <w:szCs w:val="18"/>
        </w:rPr>
        <w:t xml:space="preserve"> </w:t>
      </w:r>
      <w:r w:rsidR="00340457" w:rsidRPr="00EB4394">
        <w:rPr>
          <w:rFonts w:ascii="Verdana" w:hAnsi="Verdana"/>
          <w:color w:val="000000"/>
          <w:sz w:val="18"/>
          <w:szCs w:val="18"/>
        </w:rPr>
        <w:t>pour le lot n°1 uniquement</w:t>
      </w:r>
    </w:p>
    <w:p w:rsidR="00155BE9" w:rsidRDefault="00D92255">
      <w:pPr>
        <w:pStyle w:val="NormalWeb"/>
        <w:rPr>
          <w:rFonts w:ascii="Verdana" w:hAnsi="Verdana"/>
          <w:color w:val="000000"/>
          <w:sz w:val="18"/>
          <w:szCs w:val="18"/>
        </w:rPr>
      </w:pPr>
      <w:r w:rsidRPr="00EB4394">
        <w:rPr>
          <w:rFonts w:ascii="Verdana" w:hAnsi="Verdana"/>
          <w:color w:val="000000"/>
          <w:sz w:val="18"/>
          <w:szCs w:val="18"/>
        </w:rPr>
        <w:t>×      </w:t>
      </w:r>
      <w:r w:rsidR="00340457" w:rsidRPr="00EB4394">
        <w:rPr>
          <w:rFonts w:ascii="Verdana" w:hAnsi="Verdana"/>
          <w:color w:val="000000"/>
          <w:sz w:val="18"/>
          <w:szCs w:val="18"/>
        </w:rPr>
        <w:t>Le mémoire technique tel que décrit dans le CCTP des lots 1 et 2</w:t>
      </w:r>
      <w:r w:rsidR="00815BDB" w:rsidRPr="00EB4394">
        <w:rPr>
          <w:rFonts w:ascii="Verdana" w:hAnsi="Verdana"/>
          <w:color w:val="000000"/>
          <w:sz w:val="18"/>
          <w:szCs w:val="18"/>
        </w:rPr>
        <w:t xml:space="preserve"> et qui sera rendu</w:t>
      </w:r>
      <w:r w:rsidR="00815BDB">
        <w:rPr>
          <w:rFonts w:ascii="Verdana" w:hAnsi="Verdana"/>
          <w:color w:val="000000"/>
          <w:sz w:val="18"/>
          <w:szCs w:val="18"/>
        </w:rPr>
        <w:t xml:space="preserve"> contractuel</w:t>
      </w:r>
    </w:p>
    <w:p w:rsidR="00EB4394" w:rsidRDefault="00EB4394" w:rsidP="00EB4394">
      <w:pPr>
        <w:pStyle w:val="NormalWeb"/>
      </w:pPr>
      <w:r>
        <w:rPr>
          <w:rFonts w:ascii="Verdana" w:hAnsi="Verdana"/>
          <w:color w:val="000000"/>
          <w:sz w:val="18"/>
          <w:szCs w:val="18"/>
        </w:rPr>
        <w:t>×      L’annexe financière</w:t>
      </w:r>
    </w:p>
    <w:p w:rsidR="00EB4394" w:rsidRDefault="00EB4394" w:rsidP="00EB4394">
      <w:pPr>
        <w:pStyle w:val="NormalWeb"/>
      </w:pPr>
      <w:r>
        <w:rPr>
          <w:rFonts w:ascii="Verdana" w:hAnsi="Verdana"/>
          <w:color w:val="000000"/>
          <w:sz w:val="18"/>
          <w:szCs w:val="18"/>
        </w:rPr>
        <w:t>×      Un planning prévisionnel d’exécution des prestations</w:t>
      </w:r>
    </w:p>
    <w:p w:rsidR="00EB4394" w:rsidRPr="00340457" w:rsidRDefault="00EB4394">
      <w:pPr>
        <w:pStyle w:val="NormalWeb"/>
        <w:rPr>
          <w:highlight w:val="green"/>
        </w:rPr>
      </w:pPr>
    </w:p>
    <w:p w:rsidR="00155BE9" w:rsidRDefault="00D92255">
      <w:pPr>
        <w:pStyle w:val="NormalWeb"/>
      </w:pPr>
      <w:r>
        <w:rPr>
          <w:rFonts w:ascii="Verdana" w:hAnsi="Verdana"/>
          <w:b/>
          <w:bCs/>
          <w:color w:val="000000"/>
          <w:sz w:val="18"/>
          <w:szCs w:val="18"/>
        </w:rPr>
        <w:t>DUME.</w:t>
      </w:r>
      <w:r>
        <w:rPr>
          <w:rFonts w:ascii="Verdana" w:hAnsi="Verdana"/>
          <w:color w:val="000000"/>
          <w:sz w:val="18"/>
          <w:szCs w:val="18"/>
        </w:rPr>
        <w:t> L’acheteur accepte que le candidat présente sa candidature sous la forme d’un document unique européen (DUME) établi conformément au modèle fixé par le règlement de la Commission européenne établissant le formulaire type en lieu et place de la déclaration sur l’honneur et autres renseignements demandés dans le cadre de la candidature.</w:t>
      </w:r>
    </w:p>
    <w:p w:rsidR="00155BE9" w:rsidRDefault="00D92255">
      <w:pPr>
        <w:pStyle w:val="NormalWeb"/>
      </w:pPr>
      <w:r>
        <w:rPr>
          <w:rFonts w:ascii="Verdana" w:hAnsi="Verdana"/>
          <w:color w:val="000000"/>
          <w:sz w:val="18"/>
          <w:szCs w:val="18"/>
        </w:rPr>
        <w:t>Les opérateurs économiques peuvent réutiliser le DUME qui a déjà été utilisé dans une procédure antérieure à condition de confirmer que les informations qui y figurent sont toujours valables.</w:t>
      </w:r>
    </w:p>
    <w:p w:rsidR="00155BE9" w:rsidRDefault="00D92255">
      <w:pPr>
        <w:pStyle w:val="NormalWeb"/>
      </w:pPr>
      <w:r>
        <w:rPr>
          <w:rFonts w:ascii="Verdana" w:hAnsi="Verdana"/>
          <w:color w:val="000000"/>
          <w:sz w:val="18"/>
          <w:szCs w:val="18"/>
        </w:rPr>
        <w:t>L’acheteur autorise les candidats à indiquer dans le DUME qu’ils disposent de l’aptitude et des capacités requises sans fournir d’informations particulières sur celles-ci.</w:t>
      </w:r>
    </w:p>
    <w:p w:rsidR="00155BE9" w:rsidRDefault="00D92255">
      <w:pPr>
        <w:pStyle w:val="NormalWeb"/>
      </w:pPr>
      <w:r w:rsidRPr="00011C95">
        <w:rPr>
          <w:rFonts w:ascii="Verdana" w:hAnsi="Verdana"/>
          <w:b/>
          <w:bCs/>
          <w:color w:val="000000"/>
          <w:sz w:val="18"/>
          <w:szCs w:val="18"/>
        </w:rPr>
        <w:t>Acte d’engagement / attribution</w:t>
      </w:r>
      <w:r w:rsidRPr="00011C95">
        <w:rPr>
          <w:rFonts w:ascii="Verdana" w:hAnsi="Verdana"/>
          <w:color w:val="000000"/>
          <w:sz w:val="18"/>
          <w:szCs w:val="18"/>
        </w:rPr>
        <w:t>. Pour rappel, l’acte d’engagement (d’attribution) n’est établi qu’une fois la procédure de passation terminée. Il n’est donc plus à remettre au moment du dépôt de l’offre.</w:t>
      </w:r>
    </w:p>
    <w:p w:rsidR="00155BE9" w:rsidRDefault="00D92255">
      <w:pPr>
        <w:pStyle w:val="NormalWeb"/>
      </w:pPr>
      <w:r>
        <w:rPr>
          <w:rFonts w:ascii="Verdana" w:hAnsi="Verdana"/>
          <w:color w:val="000000"/>
          <w:sz w:val="18"/>
          <w:szCs w:val="18"/>
        </w:rPr>
        <w:t>L’acheteur rédigera l’acte d’attribution, le transmettra à l’attributaire pour vérification, date - signature et le retournera ensuite à l’acheteur qui datera et signera.</w:t>
      </w:r>
    </w:p>
    <w:p w:rsidR="00EB4394" w:rsidRDefault="00EB4394">
      <w:pPr>
        <w:pStyle w:val="NormalWeb"/>
        <w:rPr>
          <w:rFonts w:ascii="Verdana" w:hAnsi="Verdana"/>
          <w:color w:val="000000"/>
          <w:sz w:val="18"/>
          <w:szCs w:val="18"/>
        </w:rPr>
      </w:pPr>
      <w:r>
        <w:rPr>
          <w:rFonts w:ascii="Verdana" w:hAnsi="Verdana"/>
          <w:b/>
          <w:bCs/>
          <w:color w:val="000000"/>
          <w:sz w:val="18"/>
          <w:szCs w:val="18"/>
        </w:rPr>
        <w:t>10.2 Critères d’évaluation des offres</w:t>
      </w:r>
      <w:r w:rsidR="00D92255">
        <w:rPr>
          <w:rFonts w:ascii="Verdana" w:hAnsi="Verdana"/>
          <w:color w:val="000000"/>
          <w:sz w:val="18"/>
          <w:szCs w:val="18"/>
        </w:rPr>
        <w:t> </w:t>
      </w:r>
    </w:p>
    <w:p w:rsidR="00155BE9" w:rsidRDefault="00D92255">
      <w:pPr>
        <w:pStyle w:val="NormalWeb"/>
        <w:rPr>
          <w:rFonts w:ascii="Verdana" w:hAnsi="Verdana"/>
          <w:color w:val="000000"/>
          <w:sz w:val="18"/>
          <w:szCs w:val="18"/>
        </w:rPr>
      </w:pPr>
      <w:r>
        <w:rPr>
          <w:rFonts w:ascii="Verdana" w:hAnsi="Verdana"/>
          <w:color w:val="000000"/>
          <w:sz w:val="18"/>
          <w:szCs w:val="18"/>
        </w:rPr>
        <w:t>Pour attribuer le marché au soumissionnaire qui a présenté l’offre économiquement la plus avantageuse, l’acheteur se fonde sur une pluralité de critères non discriminatoires et liés à l’objet du marché ou à ses conditions d’exécution.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1"/>
        <w:gridCol w:w="1676"/>
        <w:gridCol w:w="4423"/>
      </w:tblGrid>
      <w:tr w:rsidR="00155BE9" w:rsidRPr="00815BDB" w:rsidTr="00815BDB">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155BE9" w:rsidRPr="00815BDB" w:rsidRDefault="00D92255">
            <w:pPr>
              <w:pStyle w:val="align-center"/>
              <w:rPr>
                <w:sz w:val="18"/>
                <w:szCs w:val="18"/>
              </w:rPr>
            </w:pPr>
            <w:r w:rsidRPr="00815BDB">
              <w:rPr>
                <w:rFonts w:ascii="Verdana" w:hAnsi="Verdana"/>
                <w:b/>
                <w:bCs/>
                <w:sz w:val="18"/>
                <w:szCs w:val="18"/>
              </w:rPr>
              <w:t>Critères d’</w:t>
            </w:r>
            <w:r w:rsidR="00EB4394">
              <w:rPr>
                <w:rFonts w:ascii="Verdana" w:hAnsi="Verdana"/>
                <w:b/>
                <w:bCs/>
                <w:sz w:val="18"/>
                <w:szCs w:val="18"/>
              </w:rPr>
              <w:t>évaluation</w:t>
            </w:r>
          </w:p>
        </w:tc>
        <w:tc>
          <w:tcPr>
            <w:tcW w:w="1676" w:type="dxa"/>
            <w:tcBorders>
              <w:top w:val="outset" w:sz="6" w:space="0" w:color="auto"/>
              <w:left w:val="outset" w:sz="6" w:space="0" w:color="auto"/>
              <w:bottom w:val="outset" w:sz="6" w:space="0" w:color="auto"/>
              <w:right w:val="outset" w:sz="6" w:space="0" w:color="auto"/>
            </w:tcBorders>
            <w:vAlign w:val="center"/>
            <w:hideMark/>
          </w:tcPr>
          <w:p w:rsidR="00155BE9" w:rsidRPr="00815BDB" w:rsidRDefault="00D92255">
            <w:pPr>
              <w:pStyle w:val="align-center"/>
              <w:rPr>
                <w:sz w:val="18"/>
                <w:szCs w:val="18"/>
              </w:rPr>
            </w:pPr>
            <w:r w:rsidRPr="00815BDB">
              <w:rPr>
                <w:rFonts w:ascii="Verdana" w:hAnsi="Verdana"/>
                <w:b/>
                <w:bCs/>
                <w:sz w:val="18"/>
                <w:szCs w:val="18"/>
              </w:rPr>
              <w:t>Pondération</w:t>
            </w:r>
          </w:p>
        </w:tc>
        <w:tc>
          <w:tcPr>
            <w:tcW w:w="4423" w:type="dxa"/>
            <w:tcBorders>
              <w:top w:val="outset" w:sz="6" w:space="0" w:color="auto"/>
              <w:left w:val="outset" w:sz="6" w:space="0" w:color="auto"/>
              <w:bottom w:val="outset" w:sz="6" w:space="0" w:color="auto"/>
              <w:right w:val="outset" w:sz="6" w:space="0" w:color="auto"/>
            </w:tcBorders>
            <w:vAlign w:val="center"/>
            <w:hideMark/>
          </w:tcPr>
          <w:p w:rsidR="00155BE9" w:rsidRPr="00815BDB" w:rsidRDefault="00D92255">
            <w:pPr>
              <w:pStyle w:val="NormalWeb"/>
              <w:rPr>
                <w:sz w:val="18"/>
                <w:szCs w:val="18"/>
              </w:rPr>
            </w:pPr>
            <w:r w:rsidRPr="00815BDB">
              <w:rPr>
                <w:rFonts w:ascii="Verdana" w:hAnsi="Verdana"/>
                <w:b/>
                <w:bCs/>
                <w:sz w:val="18"/>
                <w:szCs w:val="18"/>
              </w:rPr>
              <w:t>                          </w:t>
            </w:r>
          </w:p>
        </w:tc>
      </w:tr>
      <w:tr w:rsidR="00155BE9" w:rsidRPr="00815BDB" w:rsidTr="00815BDB">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hideMark/>
          </w:tcPr>
          <w:p w:rsidR="00155BE9" w:rsidRPr="00815BDB" w:rsidRDefault="00D92255">
            <w:pPr>
              <w:pStyle w:val="align-center"/>
              <w:rPr>
                <w:sz w:val="18"/>
                <w:szCs w:val="18"/>
              </w:rPr>
            </w:pPr>
            <w:r w:rsidRPr="00815BDB">
              <w:rPr>
                <w:rFonts w:ascii="Verdana" w:hAnsi="Verdana"/>
                <w:sz w:val="18"/>
                <w:szCs w:val="18"/>
              </w:rPr>
              <w:t>Prix</w:t>
            </w:r>
          </w:p>
        </w:tc>
        <w:tc>
          <w:tcPr>
            <w:tcW w:w="1676" w:type="dxa"/>
            <w:tcBorders>
              <w:top w:val="outset" w:sz="6" w:space="0" w:color="auto"/>
              <w:left w:val="outset" w:sz="6" w:space="0" w:color="auto"/>
              <w:bottom w:val="outset" w:sz="6" w:space="0" w:color="auto"/>
              <w:right w:val="outset" w:sz="6" w:space="0" w:color="auto"/>
            </w:tcBorders>
            <w:vAlign w:val="center"/>
            <w:hideMark/>
          </w:tcPr>
          <w:p w:rsidR="00155BE9" w:rsidRPr="00815BDB" w:rsidRDefault="00815BDB" w:rsidP="00815BDB">
            <w:pPr>
              <w:pStyle w:val="NormalWeb"/>
              <w:jc w:val="center"/>
              <w:rPr>
                <w:sz w:val="18"/>
                <w:szCs w:val="18"/>
              </w:rPr>
            </w:pPr>
            <w:r w:rsidRPr="00815BDB">
              <w:rPr>
                <w:rFonts w:ascii="Verdana" w:hAnsi="Verdana"/>
                <w:sz w:val="18"/>
                <w:szCs w:val="18"/>
              </w:rPr>
              <w:t>40%</w:t>
            </w:r>
          </w:p>
        </w:tc>
        <w:tc>
          <w:tcPr>
            <w:tcW w:w="4423" w:type="dxa"/>
            <w:tcBorders>
              <w:top w:val="outset" w:sz="6" w:space="0" w:color="auto"/>
              <w:left w:val="outset" w:sz="6" w:space="0" w:color="auto"/>
              <w:bottom w:val="outset" w:sz="6" w:space="0" w:color="auto"/>
              <w:right w:val="outset" w:sz="6" w:space="0" w:color="auto"/>
            </w:tcBorders>
            <w:vAlign w:val="center"/>
            <w:hideMark/>
          </w:tcPr>
          <w:p w:rsidR="00155BE9" w:rsidRDefault="00D92255">
            <w:pPr>
              <w:pStyle w:val="align-center"/>
              <w:rPr>
                <w:rFonts w:ascii="Verdana" w:hAnsi="Verdana"/>
                <w:sz w:val="18"/>
                <w:szCs w:val="18"/>
              </w:rPr>
            </w:pPr>
            <w:r w:rsidRPr="00815BDB">
              <w:rPr>
                <w:rFonts w:ascii="Verdana" w:hAnsi="Verdana"/>
                <w:sz w:val="18"/>
                <w:szCs w:val="18"/>
              </w:rPr>
              <w:t>Sur la base de l’annexe financière</w:t>
            </w:r>
            <w:r w:rsidR="002C57FE">
              <w:rPr>
                <w:rFonts w:ascii="Verdana" w:hAnsi="Verdana"/>
                <w:sz w:val="18"/>
                <w:szCs w:val="18"/>
              </w:rPr>
              <w:t> :</w:t>
            </w:r>
            <w:r w:rsidR="002C57FE" w:rsidRPr="002C57FE">
              <w:rPr>
                <w:rFonts w:ascii="Cambria Math" w:hAnsi="Cambria Math" w:cstheme="minorHAnsi"/>
                <w:i/>
              </w:rPr>
              <w:br/>
            </w:r>
            <m:oMathPara>
              <m:oMath>
                <m:r>
                  <m:rPr>
                    <m:sty m:val="p"/>
                  </m:rPr>
                  <w:rPr>
                    <w:rFonts w:ascii="Cambria Math" w:hAnsi="Cambria Math" w:cstheme="minorHAnsi"/>
                    <w:sz w:val="16"/>
                  </w:rPr>
                  <m:t>NOTE=40×</m:t>
                </m:r>
                <m:f>
                  <m:fPr>
                    <m:ctrlPr>
                      <w:rPr>
                        <w:rFonts w:ascii="Cambria Math" w:hAnsi="Cambria Math" w:cstheme="minorHAnsi"/>
                        <w:sz w:val="16"/>
                      </w:rPr>
                    </m:ctrlPr>
                  </m:fPr>
                  <m:num>
                    <m:r>
                      <m:rPr>
                        <m:sty m:val="p"/>
                      </m:rPr>
                      <w:rPr>
                        <w:rFonts w:ascii="Cambria Math" w:hAnsi="Cambria Math" w:cstheme="minorHAnsi"/>
                        <w:sz w:val="16"/>
                      </w:rPr>
                      <m:t>offre étudiée-offre moins disante</m:t>
                    </m:r>
                  </m:num>
                  <m:den>
                    <m:r>
                      <m:rPr>
                        <m:sty m:val="p"/>
                      </m:rPr>
                      <w:rPr>
                        <w:rFonts w:ascii="Cambria Math" w:hAnsi="Cambria Math" w:cstheme="minorHAnsi"/>
                        <w:sz w:val="16"/>
                      </w:rPr>
                      <m:t>offre moins disante</m:t>
                    </m:r>
                  </m:den>
                </m:f>
              </m:oMath>
            </m:oMathPara>
          </w:p>
          <w:p w:rsidR="002C57FE" w:rsidRPr="00815BDB" w:rsidRDefault="002C57FE">
            <w:pPr>
              <w:pStyle w:val="align-center"/>
              <w:rPr>
                <w:sz w:val="18"/>
                <w:szCs w:val="18"/>
              </w:rPr>
            </w:pPr>
          </w:p>
        </w:tc>
      </w:tr>
      <w:tr w:rsidR="00155BE9" w:rsidRPr="00815BDB" w:rsidTr="00EB4394">
        <w:trPr>
          <w:trHeight w:val="895"/>
          <w:tblCellSpacing w:w="0" w:type="dxa"/>
        </w:trPr>
        <w:tc>
          <w:tcPr>
            <w:tcW w:w="29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5BE9" w:rsidRPr="00EB4394" w:rsidRDefault="00D92255">
            <w:pPr>
              <w:pStyle w:val="align-center"/>
              <w:rPr>
                <w:sz w:val="18"/>
                <w:szCs w:val="18"/>
              </w:rPr>
            </w:pPr>
            <w:r w:rsidRPr="00EB4394">
              <w:rPr>
                <w:rFonts w:ascii="Verdana" w:hAnsi="Verdana"/>
                <w:sz w:val="18"/>
                <w:szCs w:val="18"/>
              </w:rPr>
              <w:t>Valeur technique</w:t>
            </w:r>
            <w:r w:rsidR="00815BDB" w:rsidRPr="00EB4394">
              <w:rPr>
                <w:rFonts w:ascii="Verdana" w:hAnsi="Verdana"/>
                <w:sz w:val="18"/>
                <w:szCs w:val="18"/>
              </w:rPr>
              <w:t>, conformité au CCTP</w:t>
            </w:r>
          </w:p>
        </w:tc>
        <w:tc>
          <w:tcPr>
            <w:tcW w:w="16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55BE9" w:rsidRPr="00EB4394" w:rsidRDefault="00815BDB" w:rsidP="00815BDB">
            <w:pPr>
              <w:pStyle w:val="NormalWeb"/>
              <w:jc w:val="center"/>
              <w:rPr>
                <w:sz w:val="18"/>
                <w:szCs w:val="18"/>
              </w:rPr>
            </w:pPr>
            <w:r w:rsidRPr="00EB4394">
              <w:rPr>
                <w:rFonts w:ascii="Verdana" w:hAnsi="Verdana"/>
                <w:sz w:val="18"/>
                <w:szCs w:val="18"/>
              </w:rPr>
              <w:t>35%</w:t>
            </w:r>
          </w:p>
        </w:tc>
        <w:tc>
          <w:tcPr>
            <w:tcW w:w="44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B4394" w:rsidRPr="00EB4394" w:rsidRDefault="00D92255" w:rsidP="00EB4394">
            <w:pPr>
              <w:pStyle w:val="align-center"/>
              <w:spacing w:before="0" w:beforeAutospacing="0" w:after="0" w:afterAutospacing="0"/>
              <w:rPr>
                <w:rFonts w:ascii="Verdana" w:hAnsi="Verdana"/>
                <w:i/>
                <w:iCs/>
                <w:sz w:val="18"/>
                <w:szCs w:val="18"/>
              </w:rPr>
            </w:pPr>
            <w:r w:rsidRPr="00EB4394">
              <w:rPr>
                <w:rFonts w:ascii="Verdana" w:hAnsi="Verdana"/>
                <w:sz w:val="18"/>
                <w:szCs w:val="18"/>
              </w:rPr>
              <w:t>Sur la base du mémoire technique</w:t>
            </w:r>
            <w:r w:rsidR="00EB4394" w:rsidRPr="00EB4394">
              <w:rPr>
                <w:rFonts w:ascii="Verdana" w:hAnsi="Verdana"/>
                <w:sz w:val="18"/>
                <w:szCs w:val="18"/>
              </w:rPr>
              <w:t>:</w:t>
            </w:r>
            <w:r w:rsidR="00D72CA6">
              <w:rPr>
                <w:rFonts w:ascii="Verdana" w:hAnsi="Verdana"/>
                <w:sz w:val="18"/>
                <w:szCs w:val="18"/>
              </w:rPr>
              <w:t xml:space="preserve"> </w:t>
            </w:r>
            <w:r w:rsidR="00EB4394" w:rsidRPr="00EB4394">
              <w:rPr>
                <w:rFonts w:ascii="Verdana" w:hAnsi="Verdana"/>
                <w:i/>
                <w:iCs/>
                <w:sz w:val="18"/>
                <w:szCs w:val="18"/>
              </w:rPr>
              <w:t xml:space="preserve">caractéristiques non </w:t>
            </w:r>
            <w:proofErr w:type="spellStart"/>
            <w:r w:rsidR="00EB4394" w:rsidRPr="00EB4394">
              <w:rPr>
                <w:rFonts w:ascii="Verdana" w:hAnsi="Verdana"/>
                <w:i/>
                <w:iCs/>
                <w:sz w:val="18"/>
                <w:szCs w:val="18"/>
              </w:rPr>
              <w:t>dérogeables</w:t>
            </w:r>
            <w:proofErr w:type="spellEnd"/>
            <w:r w:rsidR="00EB4394" w:rsidRPr="00EB4394">
              <w:rPr>
                <w:rFonts w:ascii="Verdana" w:hAnsi="Verdana"/>
                <w:i/>
                <w:iCs/>
                <w:sz w:val="18"/>
                <w:szCs w:val="18"/>
              </w:rPr>
              <w:t xml:space="preserve"> exprimées au CCTP : sur 25 points</w:t>
            </w:r>
          </w:p>
          <w:p w:rsidR="00EB4394" w:rsidRPr="00EB4394" w:rsidRDefault="00EB4394" w:rsidP="00EB4394">
            <w:pPr>
              <w:pStyle w:val="align-center"/>
              <w:spacing w:before="0" w:beforeAutospacing="0" w:after="0" w:afterAutospacing="0"/>
              <w:rPr>
                <w:sz w:val="18"/>
                <w:szCs w:val="18"/>
              </w:rPr>
            </w:pPr>
            <w:r w:rsidRPr="00EB4394">
              <w:rPr>
                <w:rFonts w:ascii="Verdana" w:hAnsi="Verdana"/>
                <w:i/>
                <w:iCs/>
                <w:sz w:val="18"/>
                <w:szCs w:val="18"/>
              </w:rPr>
              <w:t>Caractéristiques optionnelles décrites au CCTP : sur 10 points</w:t>
            </w:r>
          </w:p>
        </w:tc>
      </w:tr>
      <w:tr w:rsidR="00815BDB" w:rsidRPr="00815BDB" w:rsidTr="00815BDB">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tcPr>
          <w:p w:rsidR="00815BDB" w:rsidRPr="00815BDB" w:rsidRDefault="00815BDB" w:rsidP="00815BDB">
            <w:pPr>
              <w:pStyle w:val="align-center"/>
              <w:rPr>
                <w:rFonts w:ascii="Verdana" w:hAnsi="Verdana"/>
                <w:sz w:val="18"/>
                <w:szCs w:val="18"/>
              </w:rPr>
            </w:pPr>
            <w:r w:rsidRPr="00815BDB">
              <w:rPr>
                <w:rFonts w:ascii="Verdana" w:hAnsi="Verdana"/>
                <w:sz w:val="18"/>
                <w:szCs w:val="18"/>
              </w:rPr>
              <w:t>Délai de livraison et de mise en service</w:t>
            </w:r>
          </w:p>
        </w:tc>
        <w:tc>
          <w:tcPr>
            <w:tcW w:w="1676" w:type="dxa"/>
            <w:tcBorders>
              <w:top w:val="outset" w:sz="6" w:space="0" w:color="auto"/>
              <w:left w:val="outset" w:sz="6" w:space="0" w:color="auto"/>
              <w:bottom w:val="outset" w:sz="6" w:space="0" w:color="auto"/>
              <w:right w:val="outset" w:sz="6" w:space="0" w:color="auto"/>
            </w:tcBorders>
            <w:vAlign w:val="center"/>
          </w:tcPr>
          <w:p w:rsidR="00815BDB" w:rsidRPr="00815BDB" w:rsidRDefault="00815BDB" w:rsidP="00815BDB">
            <w:pPr>
              <w:pStyle w:val="NormalWeb"/>
              <w:jc w:val="center"/>
              <w:rPr>
                <w:rFonts w:ascii="Verdana" w:hAnsi="Verdana"/>
                <w:sz w:val="18"/>
                <w:szCs w:val="18"/>
              </w:rPr>
            </w:pPr>
            <w:r w:rsidRPr="00815BDB">
              <w:rPr>
                <w:rFonts w:ascii="Verdana" w:hAnsi="Verdana"/>
                <w:sz w:val="18"/>
                <w:szCs w:val="18"/>
              </w:rPr>
              <w:t>15%</w:t>
            </w:r>
          </w:p>
        </w:tc>
        <w:tc>
          <w:tcPr>
            <w:tcW w:w="4423" w:type="dxa"/>
            <w:tcBorders>
              <w:top w:val="outset" w:sz="6" w:space="0" w:color="auto"/>
              <w:left w:val="outset" w:sz="6" w:space="0" w:color="auto"/>
              <w:bottom w:val="outset" w:sz="6" w:space="0" w:color="auto"/>
              <w:right w:val="outset" w:sz="6" w:space="0" w:color="auto"/>
            </w:tcBorders>
            <w:vAlign w:val="center"/>
          </w:tcPr>
          <w:p w:rsidR="00815BDB" w:rsidRPr="00815BDB" w:rsidRDefault="00815BDB" w:rsidP="00815BDB">
            <w:pPr>
              <w:pStyle w:val="align-center"/>
              <w:rPr>
                <w:rFonts w:ascii="Verdana" w:hAnsi="Verdana"/>
                <w:sz w:val="18"/>
                <w:szCs w:val="18"/>
              </w:rPr>
            </w:pPr>
            <w:r w:rsidRPr="00815BDB">
              <w:rPr>
                <w:rFonts w:ascii="Verdana" w:hAnsi="Verdana"/>
                <w:sz w:val="18"/>
                <w:szCs w:val="18"/>
              </w:rPr>
              <w:t>Sur la base d’un calendrier prévisionnel</w:t>
            </w:r>
          </w:p>
        </w:tc>
      </w:tr>
      <w:tr w:rsidR="00815BDB" w:rsidRPr="00815BDB" w:rsidTr="00815BDB">
        <w:trPr>
          <w:tblCellSpacing w:w="0" w:type="dxa"/>
        </w:trPr>
        <w:tc>
          <w:tcPr>
            <w:tcW w:w="2911" w:type="dxa"/>
            <w:tcBorders>
              <w:top w:val="outset" w:sz="6" w:space="0" w:color="auto"/>
              <w:left w:val="outset" w:sz="6" w:space="0" w:color="auto"/>
              <w:bottom w:val="outset" w:sz="6" w:space="0" w:color="auto"/>
              <w:right w:val="outset" w:sz="6" w:space="0" w:color="auto"/>
            </w:tcBorders>
            <w:vAlign w:val="center"/>
          </w:tcPr>
          <w:p w:rsidR="00815BDB" w:rsidRPr="00815BDB" w:rsidRDefault="00815BDB" w:rsidP="00815BDB">
            <w:pPr>
              <w:pStyle w:val="align-center"/>
              <w:rPr>
                <w:rFonts w:ascii="Verdana" w:hAnsi="Verdana"/>
                <w:sz w:val="18"/>
                <w:szCs w:val="18"/>
              </w:rPr>
            </w:pPr>
            <w:r w:rsidRPr="00815BDB">
              <w:rPr>
                <w:rFonts w:ascii="Verdana" w:hAnsi="Verdana"/>
                <w:sz w:val="18"/>
                <w:szCs w:val="18"/>
              </w:rPr>
              <w:t>Qualités des services associés</w:t>
            </w:r>
          </w:p>
        </w:tc>
        <w:tc>
          <w:tcPr>
            <w:tcW w:w="1676" w:type="dxa"/>
            <w:tcBorders>
              <w:top w:val="outset" w:sz="6" w:space="0" w:color="auto"/>
              <w:left w:val="outset" w:sz="6" w:space="0" w:color="auto"/>
              <w:bottom w:val="outset" w:sz="6" w:space="0" w:color="auto"/>
              <w:right w:val="outset" w:sz="6" w:space="0" w:color="auto"/>
            </w:tcBorders>
            <w:vAlign w:val="center"/>
          </w:tcPr>
          <w:p w:rsidR="00815BDB" w:rsidRPr="00815BDB" w:rsidRDefault="00815BDB" w:rsidP="00815BDB">
            <w:pPr>
              <w:pStyle w:val="NormalWeb"/>
              <w:jc w:val="center"/>
              <w:rPr>
                <w:rFonts w:ascii="Verdana" w:hAnsi="Verdana"/>
                <w:sz w:val="18"/>
                <w:szCs w:val="18"/>
              </w:rPr>
            </w:pPr>
            <w:r w:rsidRPr="00815BDB">
              <w:rPr>
                <w:rFonts w:ascii="Verdana" w:hAnsi="Verdana"/>
                <w:sz w:val="18"/>
                <w:szCs w:val="18"/>
              </w:rPr>
              <w:t>10%</w:t>
            </w:r>
          </w:p>
        </w:tc>
        <w:tc>
          <w:tcPr>
            <w:tcW w:w="4423" w:type="dxa"/>
            <w:tcBorders>
              <w:top w:val="outset" w:sz="6" w:space="0" w:color="auto"/>
              <w:left w:val="outset" w:sz="6" w:space="0" w:color="auto"/>
              <w:bottom w:val="outset" w:sz="6" w:space="0" w:color="auto"/>
              <w:right w:val="outset" w:sz="6" w:space="0" w:color="auto"/>
            </w:tcBorders>
            <w:vAlign w:val="center"/>
          </w:tcPr>
          <w:p w:rsidR="00815BDB" w:rsidRPr="00815BDB" w:rsidRDefault="00815BDB" w:rsidP="00815BDB">
            <w:pPr>
              <w:pStyle w:val="align-center"/>
              <w:rPr>
                <w:rFonts w:ascii="Verdana" w:hAnsi="Verdana"/>
                <w:sz w:val="18"/>
                <w:szCs w:val="18"/>
              </w:rPr>
            </w:pPr>
            <w:r w:rsidRPr="00815BDB">
              <w:rPr>
                <w:rFonts w:ascii="Verdana" w:hAnsi="Verdana"/>
                <w:sz w:val="18"/>
                <w:szCs w:val="18"/>
              </w:rPr>
              <w:t>Sur la base des prestations proposées en accompagnement de la prise en main et de la partie formation</w:t>
            </w:r>
          </w:p>
        </w:tc>
      </w:tr>
    </w:tbl>
    <w:p w:rsidR="00155BE9" w:rsidRDefault="00D92255">
      <w:pPr>
        <w:pStyle w:val="NormalWeb"/>
      </w:pPr>
      <w:r>
        <w:rPr>
          <w:rFonts w:ascii="Verdana" w:hAnsi="Verdana"/>
          <w:color w:val="000000"/>
          <w:sz w:val="18"/>
          <w:szCs w:val="18"/>
        </w:rPr>
        <w:lastRenderedPageBreak/>
        <w:t> </w:t>
      </w:r>
    </w:p>
    <w:p w:rsidR="00155BE9" w:rsidRDefault="00EB4394">
      <w:pPr>
        <w:pStyle w:val="NormalWeb"/>
      </w:pPr>
      <w:r>
        <w:rPr>
          <w:rFonts w:ascii="Verdana" w:hAnsi="Verdana"/>
          <w:b/>
          <w:bCs/>
          <w:color w:val="000000"/>
          <w:sz w:val="18"/>
          <w:szCs w:val="18"/>
        </w:rPr>
        <w:t>10.3</w:t>
      </w:r>
      <w:r w:rsidR="00D92255">
        <w:rPr>
          <w:rFonts w:ascii="Verdana" w:hAnsi="Verdana"/>
          <w:b/>
          <w:bCs/>
          <w:color w:val="000000"/>
          <w:sz w:val="18"/>
          <w:szCs w:val="18"/>
        </w:rPr>
        <w:t xml:space="preserve"> - Négociation</w:t>
      </w:r>
    </w:p>
    <w:p w:rsidR="00155BE9" w:rsidRDefault="00D92255">
      <w:pPr>
        <w:pStyle w:val="NormalWeb"/>
      </w:pPr>
      <w:r>
        <w:rPr>
          <w:rFonts w:ascii="Verdana" w:hAnsi="Verdana"/>
          <w:color w:val="000000"/>
          <w:sz w:val="18"/>
          <w:szCs w:val="18"/>
        </w:rPr>
        <w:t>À l’issue d’un premier classement, l’acheteur négociera avec </w:t>
      </w:r>
      <w:r w:rsidRPr="002C57FE">
        <w:rPr>
          <w:rFonts w:ascii="Verdana" w:hAnsi="Verdana"/>
          <w:color w:val="000000"/>
          <w:sz w:val="18"/>
          <w:szCs w:val="18"/>
        </w:rPr>
        <w:t>les soumissionnaires</w:t>
      </w:r>
      <w:r w:rsidR="002C57FE" w:rsidRPr="002C57FE">
        <w:rPr>
          <w:rFonts w:ascii="Verdana" w:hAnsi="Verdana"/>
          <w:color w:val="000000"/>
          <w:sz w:val="18"/>
          <w:szCs w:val="18"/>
        </w:rPr>
        <w:t xml:space="preserve"> de son choix</w:t>
      </w:r>
      <w:r w:rsidRPr="002C57FE">
        <w:rPr>
          <w:rFonts w:ascii="Verdana" w:hAnsi="Verdana"/>
          <w:color w:val="000000"/>
          <w:sz w:val="18"/>
          <w:szCs w:val="18"/>
        </w:rPr>
        <w:t>.</w:t>
      </w:r>
    </w:p>
    <w:p w:rsidR="00155BE9" w:rsidRDefault="00D92255">
      <w:pPr>
        <w:pStyle w:val="NormalWeb"/>
      </w:pPr>
      <w:r>
        <w:rPr>
          <w:rFonts w:ascii="Verdana" w:hAnsi="Verdana"/>
          <w:color w:val="000000"/>
          <w:sz w:val="18"/>
          <w:szCs w:val="18"/>
        </w:rPr>
        <w:t>À l’issue de la négociation, l’offre économiquement la plus avantageuse sera retenue selon les mêmes critères d’attribution qu’initialement.</w:t>
      </w:r>
    </w:p>
    <w:p w:rsidR="00155BE9" w:rsidRDefault="00D92255">
      <w:pPr>
        <w:pStyle w:val="NormalWeb"/>
      </w:pPr>
      <w:r>
        <w:rPr>
          <w:rFonts w:ascii="Verdana" w:hAnsi="Verdana"/>
          <w:color w:val="000000"/>
          <w:sz w:val="18"/>
          <w:szCs w:val="18"/>
        </w:rPr>
        <w:t>L’acheteur se réserve toutefois la possibilité d’attribuer le marché public sur les bases des offres initiales sans négociation conformément aux dispositions de l’article R. 2123-5 du code de la commande publique.</w:t>
      </w:r>
    </w:p>
    <w:p w:rsidR="00155BE9" w:rsidRDefault="00D92255">
      <w:pPr>
        <w:pStyle w:val="Titre3"/>
        <w:rPr>
          <w:rFonts w:eastAsia="Times New Roman"/>
        </w:rPr>
      </w:pPr>
      <w:r>
        <w:rPr>
          <w:rFonts w:eastAsia="Times New Roman"/>
        </w:rPr>
        <w:t>1</w:t>
      </w:r>
      <w:r w:rsidR="00EB4394">
        <w:rPr>
          <w:rFonts w:eastAsia="Times New Roman"/>
        </w:rPr>
        <w:t>1</w:t>
      </w:r>
      <w:r>
        <w:rPr>
          <w:rFonts w:eastAsia="Times New Roman"/>
        </w:rPr>
        <w:t>.         Attribution du marché public</w:t>
      </w:r>
    </w:p>
    <w:p w:rsidR="00155BE9" w:rsidRDefault="00D92255">
      <w:pPr>
        <w:pStyle w:val="NormalWeb"/>
      </w:pPr>
      <w:r>
        <w:rPr>
          <w:rFonts w:ascii="Verdana" w:hAnsi="Verdana"/>
          <w:color w:val="000000"/>
          <w:sz w:val="18"/>
          <w:szCs w:val="18"/>
        </w:rPr>
        <w:t>Le marché ne peut être attribué qu’au candidat dont l'offre a été retenue que si celui-ci produit dans un délai imparti, sur demande écrite par l’acheteur au moment de l’attribution du marché :</w:t>
      </w:r>
    </w:p>
    <w:p w:rsidR="00155BE9" w:rsidRPr="00011C95" w:rsidRDefault="00D92255">
      <w:pPr>
        <w:pStyle w:val="NormalWeb"/>
      </w:pPr>
      <w:r w:rsidRPr="00011C95">
        <w:rPr>
          <w:rFonts w:ascii="Verdana" w:hAnsi="Verdana"/>
          <w:color w:val="000000"/>
          <w:sz w:val="18"/>
          <w:szCs w:val="18"/>
        </w:rPr>
        <w:t>O Les pièces prévues aux articles R. 1263-12, D. 8222-5, D. 8222-7 et D. 8254-2 du code du travail</w:t>
      </w:r>
    </w:p>
    <w:p w:rsidR="00155BE9" w:rsidRPr="00011C95" w:rsidRDefault="00D92255">
      <w:pPr>
        <w:pStyle w:val="NormalWeb"/>
      </w:pPr>
      <w:r w:rsidRPr="00011C95">
        <w:rPr>
          <w:rFonts w:ascii="Verdana" w:hAnsi="Verdana"/>
          <w:color w:val="000000"/>
          <w:sz w:val="18"/>
          <w:szCs w:val="18"/>
        </w:rPr>
        <w:t>O Une attestation de fourniture des déclarations sociales et de paiement des cotisations et contributions de sécurité sociale prévue à l'article L. 243-15 émanant de l'organisme de protection sociale chargé du recouvrement des cotisations et des contributions datant de moins de six mois dont elle s'assure de l'authenticité auprès de l'organisme de recouvrement des cotisations de sécurité sociale</w:t>
      </w:r>
    </w:p>
    <w:p w:rsidR="00155BE9" w:rsidRDefault="00D92255">
      <w:pPr>
        <w:pStyle w:val="NormalWeb"/>
      </w:pPr>
      <w:r w:rsidRPr="00011C95">
        <w:rPr>
          <w:rFonts w:ascii="Verdana" w:hAnsi="Verdana"/>
          <w:color w:val="000000"/>
          <w:sz w:val="18"/>
          <w:szCs w:val="18"/>
        </w:rPr>
        <w:t>S'il ne peut produire ces documents dans le délai imparti, son offre est rejetée et le candidat éliminé.</w:t>
      </w:r>
    </w:p>
    <w:p w:rsidR="00155BE9" w:rsidRDefault="00D92255">
      <w:pPr>
        <w:pStyle w:val="Titre3"/>
        <w:rPr>
          <w:rFonts w:eastAsia="Times New Roman"/>
        </w:rPr>
      </w:pPr>
      <w:r>
        <w:rPr>
          <w:rFonts w:eastAsia="Times New Roman"/>
        </w:rPr>
        <w:t>1</w:t>
      </w:r>
      <w:r w:rsidR="00EB4394">
        <w:rPr>
          <w:rFonts w:eastAsia="Times New Roman"/>
        </w:rPr>
        <w:t>2</w:t>
      </w:r>
      <w:r>
        <w:rPr>
          <w:rFonts w:eastAsia="Times New Roman"/>
        </w:rPr>
        <w:t>.         Renseignements complémentaires</w:t>
      </w:r>
    </w:p>
    <w:p w:rsidR="00155BE9" w:rsidRDefault="00D92255">
      <w:pPr>
        <w:pStyle w:val="NormalWeb"/>
      </w:pPr>
      <w:r>
        <w:rPr>
          <w:rFonts w:ascii="Verdana" w:hAnsi="Verdana"/>
          <w:color w:val="000000"/>
          <w:sz w:val="18"/>
          <w:szCs w:val="18"/>
        </w:rPr>
        <w:t>Les renseignements complémentaires relatifs aux documents de la consultation sont envoyés aux opérateurs économiques </w:t>
      </w:r>
      <w:r w:rsidR="002C57FE">
        <w:rPr>
          <w:rFonts w:ascii="Verdana" w:hAnsi="Verdana"/>
          <w:i/>
          <w:iCs/>
          <w:color w:val="000000"/>
          <w:sz w:val="18"/>
          <w:szCs w:val="18"/>
        </w:rPr>
        <w:t>6</w:t>
      </w:r>
      <w:r>
        <w:rPr>
          <w:rFonts w:ascii="Verdana" w:hAnsi="Verdana"/>
          <w:color w:val="000000"/>
          <w:sz w:val="18"/>
          <w:szCs w:val="18"/>
        </w:rPr>
        <w:t> jours au plus tard avant la date limite fixée pour la remise des candidatures et des offres, pour autant qu'ils en aient fait la demande en temps utile, par écrit.</w:t>
      </w:r>
    </w:p>
    <w:p w:rsidR="00155BE9" w:rsidRDefault="00D92255">
      <w:pPr>
        <w:pStyle w:val="Titre3"/>
        <w:rPr>
          <w:rFonts w:eastAsia="Times New Roman"/>
        </w:rPr>
      </w:pPr>
      <w:r>
        <w:rPr>
          <w:rFonts w:eastAsia="Times New Roman"/>
        </w:rPr>
        <w:t>1</w:t>
      </w:r>
      <w:r w:rsidR="00EB4394">
        <w:rPr>
          <w:rFonts w:eastAsia="Times New Roman"/>
        </w:rPr>
        <w:t>3</w:t>
      </w:r>
      <w:r>
        <w:rPr>
          <w:rFonts w:eastAsia="Times New Roman"/>
        </w:rPr>
        <w:t>.         Supports des communications et échanges d’Information</w:t>
      </w:r>
    </w:p>
    <w:p w:rsidR="00155BE9" w:rsidRPr="00011C95" w:rsidRDefault="00D92255">
      <w:pPr>
        <w:pStyle w:val="NormalWeb"/>
      </w:pPr>
      <w:r w:rsidRPr="00011C95">
        <w:rPr>
          <w:rFonts w:ascii="Verdana" w:hAnsi="Verdana"/>
          <w:b/>
          <w:bCs/>
          <w:color w:val="000000"/>
          <w:sz w:val="18"/>
          <w:szCs w:val="18"/>
        </w:rPr>
        <w:t>Principe</w:t>
      </w:r>
      <w:r w:rsidRPr="00011C95">
        <w:rPr>
          <w:rFonts w:ascii="Verdana" w:hAnsi="Verdana"/>
          <w:color w:val="000000"/>
          <w:sz w:val="18"/>
          <w:szCs w:val="18"/>
        </w:rPr>
        <w:t>. Pour rappel, tous les échanges et demandes durant la phase de passation du marché, qui part de la publicité jusqu’au démarrage des prestations, doivent être réalisés par voie dématérialisée, via le profil d’acheteur. Aucun appel téléphonique, ni aucune demande par voie papier ne sera prise en compte.</w:t>
      </w:r>
    </w:p>
    <w:p w:rsidR="00155BE9" w:rsidRPr="006225BF" w:rsidRDefault="00D92255">
      <w:pPr>
        <w:pStyle w:val="NormalWeb"/>
      </w:pPr>
      <w:r w:rsidRPr="006225BF">
        <w:rPr>
          <w:rFonts w:ascii="Verdana" w:hAnsi="Verdana"/>
          <w:b/>
          <w:bCs/>
          <w:color w:val="000000"/>
          <w:sz w:val="18"/>
          <w:szCs w:val="18"/>
        </w:rPr>
        <w:t>Pour la réponse électronique</w:t>
      </w:r>
      <w:r w:rsidRPr="006225BF">
        <w:rPr>
          <w:rFonts w:ascii="Verdana" w:hAnsi="Verdana"/>
          <w:color w:val="000000"/>
          <w:sz w:val="18"/>
          <w:szCs w:val="18"/>
        </w:rPr>
        <w:t xml:space="preserve"> : </w:t>
      </w:r>
      <w:r w:rsidR="006225BF">
        <w:rPr>
          <w:rFonts w:ascii="Verdana" w:hAnsi="Verdana"/>
          <w:color w:val="000000"/>
          <w:sz w:val="18"/>
          <w:szCs w:val="18"/>
        </w:rPr>
        <w:t>sur le site AJI obligatoirement et l’adresse email : intendant.0691644m@ac-lyon.fr</w:t>
      </w:r>
    </w:p>
    <w:p w:rsidR="00155BE9" w:rsidRPr="006225BF" w:rsidRDefault="00D92255">
      <w:pPr>
        <w:pStyle w:val="NormalWeb"/>
      </w:pPr>
      <w:r w:rsidRPr="006225BF">
        <w:rPr>
          <w:rFonts w:ascii="Verdana" w:hAnsi="Verdana"/>
          <w:b/>
          <w:bCs/>
          <w:color w:val="000000"/>
          <w:sz w:val="18"/>
          <w:szCs w:val="18"/>
        </w:rPr>
        <w:t>Adresse du profil d’acheteur</w:t>
      </w:r>
      <w:r w:rsidRPr="006225BF">
        <w:rPr>
          <w:rFonts w:ascii="Verdana" w:hAnsi="Verdana"/>
          <w:color w:val="000000"/>
          <w:sz w:val="18"/>
          <w:szCs w:val="18"/>
        </w:rPr>
        <w:t xml:space="preserve"> : </w:t>
      </w:r>
      <w:r w:rsidR="006225BF">
        <w:rPr>
          <w:rFonts w:ascii="Verdana" w:hAnsi="Verdana"/>
          <w:color w:val="000000"/>
          <w:sz w:val="18"/>
          <w:szCs w:val="18"/>
        </w:rPr>
        <w:t>intendant.0691644m@ac-lyon.fr</w:t>
      </w:r>
    </w:p>
    <w:p w:rsidR="00155BE9" w:rsidRPr="006225BF" w:rsidRDefault="00D92255">
      <w:pPr>
        <w:pStyle w:val="NormalWeb"/>
      </w:pPr>
      <w:r w:rsidRPr="006225BF">
        <w:rPr>
          <w:rFonts w:ascii="Verdana" w:hAnsi="Verdana"/>
          <w:b/>
          <w:bCs/>
          <w:color w:val="000000"/>
          <w:sz w:val="18"/>
          <w:szCs w:val="18"/>
        </w:rPr>
        <w:t>Formats de fichiers éventuellement demandés</w:t>
      </w:r>
      <w:r w:rsidRPr="006225BF">
        <w:rPr>
          <w:rFonts w:ascii="Verdana" w:hAnsi="Verdana"/>
          <w:color w:val="000000"/>
          <w:sz w:val="18"/>
          <w:szCs w:val="18"/>
        </w:rPr>
        <w:t xml:space="preserve"> : </w:t>
      </w:r>
      <w:r w:rsidR="002C57FE" w:rsidRPr="006225BF">
        <w:rPr>
          <w:rFonts w:ascii="Verdana" w:hAnsi="Verdana"/>
          <w:color w:val="000000"/>
          <w:sz w:val="18"/>
          <w:szCs w:val="18"/>
        </w:rPr>
        <w:t xml:space="preserve">fichiers </w:t>
      </w:r>
      <w:proofErr w:type="spellStart"/>
      <w:r w:rsidR="002C57FE" w:rsidRPr="006225BF">
        <w:rPr>
          <w:rFonts w:ascii="Verdana" w:hAnsi="Verdana"/>
          <w:color w:val="000000"/>
          <w:sz w:val="18"/>
          <w:szCs w:val="18"/>
        </w:rPr>
        <w:t>pdf</w:t>
      </w:r>
      <w:proofErr w:type="spellEnd"/>
    </w:p>
    <w:p w:rsidR="00155BE9" w:rsidRPr="006225BF" w:rsidRDefault="00D92255">
      <w:pPr>
        <w:pStyle w:val="NormalWeb"/>
      </w:pPr>
      <w:r w:rsidRPr="006225BF">
        <w:rPr>
          <w:rFonts w:ascii="Verdana" w:hAnsi="Verdana"/>
          <w:b/>
          <w:bCs/>
          <w:color w:val="000000"/>
          <w:sz w:val="18"/>
          <w:szCs w:val="18"/>
        </w:rPr>
        <w:t>Exigence de la signature électronique du marché</w:t>
      </w:r>
      <w:r w:rsidRPr="006225BF">
        <w:rPr>
          <w:rFonts w:ascii="Verdana" w:hAnsi="Verdana"/>
          <w:color w:val="000000"/>
          <w:sz w:val="18"/>
          <w:szCs w:val="18"/>
        </w:rPr>
        <w:t xml:space="preserve"> : </w:t>
      </w:r>
      <w:r w:rsidRPr="006225BF">
        <w:rPr>
          <w:rFonts w:ascii="Verdana" w:hAnsi="Verdana"/>
          <w:color w:val="000000"/>
          <w:sz w:val="18"/>
          <w:szCs w:val="18"/>
          <w:highlight w:val="yellow"/>
        </w:rPr>
        <w:t>O Non</w:t>
      </w:r>
      <w:r w:rsidRPr="006225BF">
        <w:rPr>
          <w:rFonts w:ascii="Verdana" w:hAnsi="Verdana"/>
          <w:color w:val="000000"/>
          <w:sz w:val="18"/>
          <w:szCs w:val="18"/>
        </w:rPr>
        <w:t>   O Oui</w:t>
      </w:r>
    </w:p>
    <w:p w:rsidR="00D92255" w:rsidRDefault="00D92255">
      <w:pPr>
        <w:pStyle w:val="NormalWeb"/>
      </w:pPr>
      <w:r w:rsidRPr="006225BF">
        <w:rPr>
          <w:rFonts w:ascii="Verdana" w:hAnsi="Verdana"/>
          <w:b/>
          <w:bCs/>
          <w:color w:val="000000"/>
          <w:sz w:val="18"/>
          <w:szCs w:val="18"/>
        </w:rPr>
        <w:t>Certificats de signature utilisables</w:t>
      </w:r>
      <w:r w:rsidRPr="006225BF">
        <w:rPr>
          <w:rFonts w:ascii="Verdana" w:hAnsi="Verdana"/>
          <w:color w:val="000000"/>
          <w:sz w:val="18"/>
          <w:szCs w:val="18"/>
        </w:rPr>
        <w:t xml:space="preserve"> : </w:t>
      </w:r>
      <w:r w:rsidR="006225BF">
        <w:rPr>
          <w:rFonts w:ascii="Verdana" w:hAnsi="Verdana"/>
          <w:color w:val="000000"/>
          <w:sz w:val="18"/>
          <w:szCs w:val="18"/>
        </w:rPr>
        <w:t>NON</w:t>
      </w:r>
    </w:p>
    <w:sectPr w:rsidR="00D92255" w:rsidSect="00E0556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07" w:rsidRDefault="003C0F07" w:rsidP="00EB4394">
      <w:r>
        <w:separator/>
      </w:r>
    </w:p>
  </w:endnote>
  <w:endnote w:type="continuationSeparator" w:id="0">
    <w:p w:rsidR="003C0F07" w:rsidRDefault="003C0F07" w:rsidP="00EB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94" w:rsidRPr="00EB4394" w:rsidRDefault="00EB4394">
    <w:pPr>
      <w:pStyle w:val="Pieddepage"/>
      <w:jc w:val="center"/>
    </w:pPr>
    <w:r w:rsidRPr="00EB4394">
      <w:t xml:space="preserve">Page </w:t>
    </w:r>
    <w:r w:rsidR="00020EA4" w:rsidRPr="00EB4394">
      <w:fldChar w:fldCharType="begin"/>
    </w:r>
    <w:r w:rsidRPr="00EB4394">
      <w:instrText>PAGE  \* Arabic  \* MERGEFORMAT</w:instrText>
    </w:r>
    <w:r w:rsidR="00020EA4" w:rsidRPr="00EB4394">
      <w:fldChar w:fldCharType="separate"/>
    </w:r>
    <w:r w:rsidR="006225BF">
      <w:rPr>
        <w:noProof/>
      </w:rPr>
      <w:t>4</w:t>
    </w:r>
    <w:r w:rsidR="00020EA4" w:rsidRPr="00EB4394">
      <w:fldChar w:fldCharType="end"/>
    </w:r>
    <w:r w:rsidRPr="00EB4394">
      <w:t xml:space="preserve"> sur </w:t>
    </w:r>
    <w:r w:rsidR="00656A23">
      <w:t>4</w:t>
    </w:r>
  </w:p>
  <w:p w:rsidR="00EB4394" w:rsidRDefault="00EB43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07" w:rsidRDefault="003C0F07" w:rsidP="00EB4394">
      <w:r>
        <w:separator/>
      </w:r>
    </w:p>
  </w:footnote>
  <w:footnote w:type="continuationSeparator" w:id="0">
    <w:p w:rsidR="003C0F07" w:rsidRDefault="003C0F07" w:rsidP="00EB4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41240"/>
    <w:multiLevelType w:val="hybridMultilevel"/>
    <w:tmpl w:val="ECECAA1C"/>
    <w:lvl w:ilvl="0" w:tplc="945619AA">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0"/>
  <w:doNotHyphenateCaps/>
  <w:drawingGridHorizontalSpacing w:val="0"/>
  <w:drawingGridVerticalSpacing w:val="0"/>
  <w:characterSpacingControl w:val="doNotCompress"/>
  <w:hdrShapeDefaults>
    <o:shapedefaults v:ext="edit" spidmax="9218"/>
  </w:hdrShapeDefaults>
  <w:footnotePr>
    <w:footnote w:id="-1"/>
    <w:footnote w:id="0"/>
  </w:footnotePr>
  <w:endnotePr>
    <w:endnote w:id="-1"/>
    <w:endnote w:id="0"/>
  </w:endnotePr>
  <w:compat/>
  <w:rsids>
    <w:rsidRoot w:val="009C6A71"/>
    <w:rsid w:val="00011C95"/>
    <w:rsid w:val="00020EA4"/>
    <w:rsid w:val="00155BE9"/>
    <w:rsid w:val="0022077B"/>
    <w:rsid w:val="002C57FE"/>
    <w:rsid w:val="00340457"/>
    <w:rsid w:val="003C0F07"/>
    <w:rsid w:val="006225BF"/>
    <w:rsid w:val="00623D69"/>
    <w:rsid w:val="00656A23"/>
    <w:rsid w:val="00815BDB"/>
    <w:rsid w:val="00900F05"/>
    <w:rsid w:val="0093592A"/>
    <w:rsid w:val="009C6A71"/>
    <w:rsid w:val="00D6232F"/>
    <w:rsid w:val="00D72CA6"/>
    <w:rsid w:val="00D92255"/>
    <w:rsid w:val="00DE2588"/>
    <w:rsid w:val="00E0556D"/>
    <w:rsid w:val="00EB4394"/>
    <w:rsid w:val="00F54064"/>
    <w:rsid w:val="00FD5A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6D"/>
    <w:rPr>
      <w:rFonts w:asciiTheme="minorHAnsi" w:eastAsia="Verdana" w:hAnsiTheme="minorHAnsi"/>
      <w:sz w:val="24"/>
      <w:szCs w:val="16"/>
    </w:rPr>
  </w:style>
  <w:style w:type="paragraph" w:styleId="Titre2">
    <w:name w:val="heading 2"/>
    <w:basedOn w:val="Normal"/>
    <w:link w:val="Titre2Car"/>
    <w:uiPriority w:val="9"/>
    <w:qFormat/>
    <w:rsid w:val="00E0556D"/>
    <w:pPr>
      <w:spacing w:before="100" w:beforeAutospacing="1" w:after="100" w:afterAutospacing="1"/>
      <w:outlineLvl w:val="1"/>
    </w:pPr>
    <w:rPr>
      <w:rFonts w:ascii="Times New Roman" w:eastAsiaTheme="minorEastAsia" w:hAnsi="Times New Roman"/>
      <w:b/>
      <w:bCs/>
      <w:sz w:val="36"/>
      <w:szCs w:val="36"/>
    </w:rPr>
  </w:style>
  <w:style w:type="paragraph" w:styleId="Titre3">
    <w:name w:val="heading 3"/>
    <w:basedOn w:val="Normal"/>
    <w:link w:val="Titre3Car"/>
    <w:uiPriority w:val="9"/>
    <w:qFormat/>
    <w:rsid w:val="00E0556D"/>
    <w:pPr>
      <w:shd w:val="solid" w:color="8EAADB" w:fill="auto"/>
      <w:spacing w:before="100" w:beforeAutospacing="1" w:after="100" w:afterAutospacing="1"/>
      <w:outlineLvl w:val="2"/>
    </w:pPr>
    <w:rPr>
      <w:rFonts w:asciiTheme="majorHAnsi" w:eastAsiaTheme="minorEastAsia" w:hAnsiTheme="majorHAnsi"/>
      <w:b/>
      <w:bCs/>
      <w:sz w:val="32"/>
      <w:szCs w:val="27"/>
    </w:rPr>
  </w:style>
  <w:style w:type="paragraph" w:styleId="Titre4">
    <w:name w:val="heading 4"/>
    <w:basedOn w:val="Normal"/>
    <w:link w:val="Titre4Car"/>
    <w:uiPriority w:val="9"/>
    <w:qFormat/>
    <w:rsid w:val="00E0556D"/>
    <w:pPr>
      <w:spacing w:before="100" w:beforeAutospacing="1" w:after="100" w:afterAutospacing="1"/>
      <w:outlineLvl w:val="3"/>
    </w:pPr>
    <w:rPr>
      <w:rFonts w:ascii="Times New Roman" w:eastAsiaTheme="minorEastAsia"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E0556D"/>
    <w:rPr>
      <w:rFonts w:asciiTheme="majorHAnsi" w:eastAsiaTheme="majorEastAsia" w:hAnsiTheme="majorHAnsi" w:cstheme="majorBidi" w:hint="default"/>
      <w:color w:val="2F5496" w:themeColor="accent1" w:themeShade="BF"/>
      <w:sz w:val="26"/>
      <w:szCs w:val="26"/>
    </w:rPr>
  </w:style>
  <w:style w:type="character" w:customStyle="1" w:styleId="Titre3Car">
    <w:name w:val="Titre 3 Car"/>
    <w:basedOn w:val="Policepardfaut"/>
    <w:link w:val="Titre3"/>
    <w:uiPriority w:val="9"/>
    <w:locked/>
    <w:rsid w:val="00E0556D"/>
    <w:rPr>
      <w:rFonts w:asciiTheme="majorHAnsi" w:eastAsiaTheme="minorEastAsia" w:hAnsiTheme="majorHAnsi" w:cs="Calibri Light" w:hint="default"/>
      <w:b/>
      <w:bCs/>
      <w:sz w:val="32"/>
      <w:szCs w:val="27"/>
      <w:shd w:val="solid" w:color="8EAADB" w:fill="auto"/>
    </w:rPr>
  </w:style>
  <w:style w:type="character" w:customStyle="1" w:styleId="Titre4Car">
    <w:name w:val="Titre 4 Car"/>
    <w:basedOn w:val="Policepardfaut"/>
    <w:link w:val="Titre4"/>
    <w:uiPriority w:val="9"/>
    <w:semiHidden/>
    <w:locked/>
    <w:rsid w:val="00E0556D"/>
    <w:rPr>
      <w:rFonts w:asciiTheme="majorHAnsi" w:eastAsiaTheme="majorEastAsia" w:hAnsiTheme="majorHAnsi" w:cstheme="majorBidi" w:hint="default"/>
      <w:i/>
      <w:iCs/>
      <w:color w:val="2F5496" w:themeColor="accent1" w:themeShade="BF"/>
      <w:sz w:val="15"/>
      <w:szCs w:val="16"/>
    </w:rPr>
  </w:style>
  <w:style w:type="paragraph" w:customStyle="1" w:styleId="msonormal0">
    <w:name w:val="msonormal"/>
    <w:basedOn w:val="Normal"/>
    <w:uiPriority w:val="99"/>
    <w:semiHidden/>
    <w:rsid w:val="00E0556D"/>
    <w:pPr>
      <w:spacing w:before="100" w:beforeAutospacing="1" w:after="100" w:afterAutospacing="1"/>
    </w:pPr>
    <w:rPr>
      <w:rFonts w:ascii="Times New Roman" w:eastAsiaTheme="minorEastAsia" w:hAnsi="Times New Roman"/>
      <w:szCs w:val="24"/>
    </w:rPr>
  </w:style>
  <w:style w:type="paragraph" w:styleId="NormalWeb">
    <w:name w:val="Normal (Web)"/>
    <w:basedOn w:val="Normal"/>
    <w:uiPriority w:val="99"/>
    <w:semiHidden/>
    <w:unhideWhenUsed/>
    <w:rsid w:val="00E0556D"/>
    <w:pPr>
      <w:spacing w:before="100" w:beforeAutospacing="1" w:after="100" w:afterAutospacing="1"/>
    </w:pPr>
    <w:rPr>
      <w:rFonts w:ascii="Times New Roman" w:eastAsiaTheme="minorEastAsia" w:hAnsi="Times New Roman"/>
      <w:szCs w:val="24"/>
    </w:rPr>
  </w:style>
  <w:style w:type="paragraph" w:customStyle="1" w:styleId="small">
    <w:name w:val="small"/>
    <w:uiPriority w:val="99"/>
    <w:semiHidden/>
    <w:rsid w:val="00E0556D"/>
    <w:rPr>
      <w:rFonts w:ascii="Verdana" w:eastAsia="Verdana" w:hAnsi="Verdana"/>
      <w:sz w:val="2"/>
      <w:szCs w:val="2"/>
    </w:rPr>
  </w:style>
  <w:style w:type="paragraph" w:customStyle="1" w:styleId="align-center">
    <w:name w:val="align-center"/>
    <w:basedOn w:val="Normal"/>
    <w:uiPriority w:val="99"/>
    <w:semiHidden/>
    <w:rsid w:val="00E0556D"/>
    <w:pPr>
      <w:spacing w:before="100" w:beforeAutospacing="1" w:after="100" w:afterAutospacing="1"/>
    </w:pPr>
    <w:rPr>
      <w:rFonts w:ascii="Times New Roman" w:eastAsiaTheme="minorEastAsia" w:hAnsi="Times New Roman"/>
      <w:szCs w:val="24"/>
    </w:rPr>
  </w:style>
  <w:style w:type="character" w:styleId="Textedelespacerserv">
    <w:name w:val="Placeholder Text"/>
    <w:basedOn w:val="Policepardfaut"/>
    <w:uiPriority w:val="99"/>
    <w:semiHidden/>
    <w:rsid w:val="002C57FE"/>
    <w:rPr>
      <w:color w:val="808080"/>
    </w:rPr>
  </w:style>
  <w:style w:type="paragraph" w:styleId="En-tte">
    <w:name w:val="header"/>
    <w:basedOn w:val="Normal"/>
    <w:link w:val="En-tteCar"/>
    <w:uiPriority w:val="99"/>
    <w:unhideWhenUsed/>
    <w:rsid w:val="00EB4394"/>
    <w:pPr>
      <w:tabs>
        <w:tab w:val="center" w:pos="4513"/>
        <w:tab w:val="right" w:pos="9026"/>
      </w:tabs>
    </w:pPr>
  </w:style>
  <w:style w:type="character" w:customStyle="1" w:styleId="En-tteCar">
    <w:name w:val="En-tête Car"/>
    <w:basedOn w:val="Policepardfaut"/>
    <w:link w:val="En-tte"/>
    <w:uiPriority w:val="99"/>
    <w:rsid w:val="00EB4394"/>
    <w:rPr>
      <w:rFonts w:asciiTheme="minorHAnsi" w:eastAsia="Verdana" w:hAnsiTheme="minorHAnsi"/>
      <w:sz w:val="24"/>
      <w:szCs w:val="16"/>
    </w:rPr>
  </w:style>
  <w:style w:type="paragraph" w:styleId="Pieddepage">
    <w:name w:val="footer"/>
    <w:basedOn w:val="Normal"/>
    <w:link w:val="PieddepageCar"/>
    <w:uiPriority w:val="99"/>
    <w:unhideWhenUsed/>
    <w:rsid w:val="00EB4394"/>
    <w:pPr>
      <w:tabs>
        <w:tab w:val="center" w:pos="4513"/>
        <w:tab w:val="right" w:pos="9026"/>
      </w:tabs>
    </w:pPr>
  </w:style>
  <w:style w:type="character" w:customStyle="1" w:styleId="PieddepageCar">
    <w:name w:val="Pied de page Car"/>
    <w:basedOn w:val="Policepardfaut"/>
    <w:link w:val="Pieddepage"/>
    <w:uiPriority w:val="99"/>
    <w:rsid w:val="00EB4394"/>
    <w:rPr>
      <w:rFonts w:asciiTheme="minorHAnsi" w:eastAsia="Verdana" w:hAnsiTheme="minorHAnsi"/>
      <w:sz w:val="24"/>
      <w:szCs w:val="16"/>
    </w:rPr>
  </w:style>
  <w:style w:type="paragraph" w:styleId="Textedebulles">
    <w:name w:val="Balloon Text"/>
    <w:basedOn w:val="Normal"/>
    <w:link w:val="TextedebullesCar"/>
    <w:uiPriority w:val="99"/>
    <w:semiHidden/>
    <w:unhideWhenUsed/>
    <w:rsid w:val="00D72CA6"/>
    <w:rPr>
      <w:rFonts w:ascii="Tahoma" w:hAnsi="Tahoma" w:cs="Tahoma"/>
      <w:sz w:val="16"/>
    </w:rPr>
  </w:style>
  <w:style w:type="character" w:customStyle="1" w:styleId="TextedebullesCar">
    <w:name w:val="Texte de bulles Car"/>
    <w:basedOn w:val="Policepardfaut"/>
    <w:link w:val="Textedebulles"/>
    <w:uiPriority w:val="99"/>
    <w:semiHidden/>
    <w:rsid w:val="00D72CA6"/>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1195</Words>
  <Characters>6573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ranty</dc:creator>
  <cp:lastModifiedBy>mfeler</cp:lastModifiedBy>
  <cp:revision>2</cp:revision>
  <dcterms:created xsi:type="dcterms:W3CDTF">2024-03-20T18:23:00Z</dcterms:created>
  <dcterms:modified xsi:type="dcterms:W3CDTF">2024-03-20T18:23:00Z</dcterms:modified>
</cp:coreProperties>
</file>