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797B" w:rsidRDefault="006E0984" w:rsidP="006E0984">
      <w:pPr>
        <w:pStyle w:val="Titre1"/>
        <w:jc w:val="center"/>
        <w:rPr>
          <w:b w:val="0"/>
          <w:bCs w:val="0"/>
        </w:rPr>
      </w:pPr>
      <w:r>
        <w:t xml:space="preserve">CAHIER DES </w:t>
      </w:r>
      <w:r w:rsidR="00AE797B">
        <w:t>CLAUSES TECHNIQUES</w:t>
      </w:r>
      <w:r>
        <w:t xml:space="preserve"> PARTICULIERES</w:t>
      </w:r>
    </w:p>
    <w:p w:rsidR="006E0984" w:rsidRDefault="006E0984">
      <w:pPr>
        <w:rPr>
          <w:b/>
          <w:bCs/>
          <w:i/>
          <w:iCs/>
        </w:rPr>
      </w:pPr>
    </w:p>
    <w:p w:rsidR="00AE797B" w:rsidRDefault="00AE797B" w:rsidP="006E0984">
      <w:pPr>
        <w:jc w:val="center"/>
        <w:rPr>
          <w:b/>
          <w:bCs/>
          <w:i/>
          <w:iCs/>
          <w:u w:val="single"/>
        </w:rPr>
      </w:pPr>
      <w:r>
        <w:rPr>
          <w:b/>
          <w:bCs/>
          <w:i/>
          <w:iCs/>
          <w:u w:val="single"/>
        </w:rPr>
        <w:t>FRUITS ET LEGUMES</w:t>
      </w:r>
    </w:p>
    <w:p w:rsidR="00AE797B" w:rsidRDefault="00AE797B">
      <w:pPr>
        <w:rPr>
          <w:b/>
          <w:bCs/>
          <w:i/>
          <w:iCs/>
          <w:u w:val="single"/>
        </w:rPr>
      </w:pPr>
    </w:p>
    <w:p w:rsidR="006E0984" w:rsidRPr="000246DB" w:rsidRDefault="000246DB" w:rsidP="00A22AA6">
      <w:pPr>
        <w:pStyle w:val="Titre"/>
        <w:shd w:val="clear" w:color="auto" w:fill="DBE5F1" w:themeFill="accent1" w:themeFillTint="33"/>
        <w:rPr>
          <w:rStyle w:val="Emphaseple"/>
          <w:color w:val="365F91" w:themeColor="accent1" w:themeShade="BF"/>
          <w:u w:val="single"/>
        </w:rPr>
      </w:pPr>
      <w:bookmarkStart w:id="0" w:name="_Toc485390831"/>
      <w:bookmarkStart w:id="1" w:name="_Toc485390957"/>
      <w:bookmarkStart w:id="2" w:name="_Toc485391254"/>
      <w:bookmarkStart w:id="3" w:name="_Toc487446967"/>
      <w:bookmarkStart w:id="4" w:name="_Toc487447773"/>
      <w:proofErr w:type="gramStart"/>
      <w:r w:rsidRPr="000246DB">
        <w:rPr>
          <w:rStyle w:val="Emphaseple"/>
          <w:color w:val="365F91" w:themeColor="accent1" w:themeShade="BF"/>
          <w:u w:val="single"/>
        </w:rPr>
        <w:t>1.</w:t>
      </w:r>
      <w:r w:rsidR="006E0984" w:rsidRPr="000246DB">
        <w:rPr>
          <w:rStyle w:val="Emphaseple"/>
          <w:color w:val="365F91" w:themeColor="accent1" w:themeShade="BF"/>
          <w:u w:val="single"/>
        </w:rPr>
        <w:t>Normes</w:t>
      </w:r>
      <w:proofErr w:type="gramEnd"/>
      <w:r w:rsidR="006E0984" w:rsidRPr="000246DB">
        <w:rPr>
          <w:rStyle w:val="Emphaseple"/>
          <w:color w:val="365F91" w:themeColor="accent1" w:themeShade="BF"/>
          <w:u w:val="single"/>
        </w:rPr>
        <w:t xml:space="preserve"> et recommandations</w:t>
      </w:r>
      <w:bookmarkEnd w:id="0"/>
      <w:bookmarkEnd w:id="1"/>
      <w:bookmarkEnd w:id="2"/>
      <w:bookmarkEnd w:id="3"/>
      <w:bookmarkEnd w:id="4"/>
      <w:r w:rsidR="006E0984" w:rsidRPr="000246DB">
        <w:rPr>
          <w:rStyle w:val="Emphaseple"/>
          <w:color w:val="365F91" w:themeColor="accent1" w:themeShade="BF"/>
          <w:u w:val="single"/>
        </w:rPr>
        <w:t xml:space="preserve"> communes à tous les lots</w:t>
      </w:r>
    </w:p>
    <w:p w:rsidR="006E0984" w:rsidRPr="00DA1C30" w:rsidRDefault="006E0984" w:rsidP="006E0984"/>
    <w:p w:rsidR="006A6A12" w:rsidRPr="000A5629" w:rsidRDefault="006A6A12" w:rsidP="006A6A12">
      <w:pPr>
        <w:pStyle w:val="Titre3"/>
        <w:ind w:left="1843" w:hanging="709"/>
        <w:rPr>
          <w:color w:val="365F91"/>
          <w:u w:val="single"/>
        </w:rPr>
      </w:pPr>
      <w:r w:rsidRPr="000A5629">
        <w:rPr>
          <w:color w:val="365F91"/>
          <w:u w:val="single"/>
        </w:rPr>
        <w:t>1</w:t>
      </w:r>
      <w:r>
        <w:rPr>
          <w:color w:val="365F91"/>
          <w:u w:val="single"/>
        </w:rPr>
        <w:t>.1 Concernant</w:t>
      </w:r>
      <w:r w:rsidRPr="000A5629">
        <w:rPr>
          <w:color w:val="365F91"/>
          <w:u w:val="single"/>
        </w:rPr>
        <w:t xml:space="preserve"> les produits </w:t>
      </w:r>
    </w:p>
    <w:p w:rsidR="008419B2" w:rsidRDefault="008419B2" w:rsidP="008419B2">
      <w:pPr>
        <w:tabs>
          <w:tab w:val="left" w:pos="2520"/>
        </w:tabs>
        <w:jc w:val="both"/>
        <w:rPr>
          <w:bCs/>
          <w:sz w:val="22"/>
          <w:szCs w:val="22"/>
        </w:rPr>
      </w:pPr>
      <w:r w:rsidRPr="00DB6847">
        <w:rPr>
          <w:bCs/>
          <w:sz w:val="22"/>
          <w:szCs w:val="22"/>
        </w:rPr>
        <w:t>Les produits alimentaires doivent être conformes aux :</w:t>
      </w:r>
    </w:p>
    <w:p w:rsidR="0077311C" w:rsidRPr="0077311C" w:rsidRDefault="0077311C" w:rsidP="0077311C">
      <w:pPr>
        <w:pStyle w:val="Paragraphedeliste"/>
        <w:numPr>
          <w:ilvl w:val="0"/>
          <w:numId w:val="2"/>
        </w:numPr>
        <w:ind w:left="567" w:firstLine="0"/>
        <w:jc w:val="both"/>
        <w:rPr>
          <w:bCs/>
          <w:color w:val="auto"/>
          <w:sz w:val="22"/>
          <w:szCs w:val="22"/>
          <w:lang w:val="fr-FR"/>
        </w:rPr>
      </w:pPr>
      <w:r w:rsidRPr="0077311C">
        <w:rPr>
          <w:bCs/>
          <w:color w:val="auto"/>
          <w:sz w:val="22"/>
          <w:szCs w:val="22"/>
          <w:lang w:val="fr-FR"/>
        </w:rPr>
        <w:t>Décret n° 55-1126 du 19 aout 1955 concernant le commerce des fruits et légumes.</w:t>
      </w:r>
    </w:p>
    <w:p w:rsidR="0077311C" w:rsidRPr="0077311C" w:rsidRDefault="0077311C" w:rsidP="0077311C">
      <w:pPr>
        <w:pStyle w:val="Paragraphedeliste"/>
        <w:numPr>
          <w:ilvl w:val="0"/>
          <w:numId w:val="2"/>
        </w:numPr>
        <w:ind w:left="567" w:firstLine="0"/>
        <w:jc w:val="both"/>
        <w:rPr>
          <w:bCs/>
          <w:color w:val="auto"/>
          <w:sz w:val="22"/>
          <w:szCs w:val="22"/>
          <w:lang w:val="fr-FR"/>
        </w:rPr>
      </w:pPr>
      <w:r w:rsidRPr="0077311C">
        <w:rPr>
          <w:bCs/>
          <w:color w:val="auto"/>
          <w:sz w:val="22"/>
          <w:szCs w:val="22"/>
          <w:lang w:val="fr-FR"/>
        </w:rPr>
        <w:t>Arrêté ministériel du 20 juillet 1956 relatif au commerce des fruits et légumes</w:t>
      </w:r>
    </w:p>
    <w:p w:rsidR="0077311C" w:rsidRPr="0077311C" w:rsidRDefault="0077311C" w:rsidP="0077311C">
      <w:pPr>
        <w:pStyle w:val="Paragraphedeliste"/>
        <w:numPr>
          <w:ilvl w:val="0"/>
          <w:numId w:val="2"/>
        </w:numPr>
        <w:ind w:left="567" w:firstLine="0"/>
        <w:jc w:val="both"/>
        <w:rPr>
          <w:bCs/>
          <w:color w:val="auto"/>
          <w:sz w:val="22"/>
          <w:szCs w:val="22"/>
          <w:lang w:val="fr-FR"/>
        </w:rPr>
      </w:pPr>
      <w:r w:rsidRPr="0077311C">
        <w:rPr>
          <w:bCs/>
          <w:color w:val="auto"/>
          <w:sz w:val="22"/>
          <w:szCs w:val="22"/>
          <w:lang w:val="fr-FR"/>
        </w:rPr>
        <w:t>Arrêté ministériel du 5 aout 1992 modifié relatif aux teneurs maximales en résidus de pesticides admissibles sur ou dans certains produits d'origine végétale.</w:t>
      </w:r>
    </w:p>
    <w:p w:rsidR="006A6A12" w:rsidRDefault="008419B2" w:rsidP="008419B2">
      <w:pPr>
        <w:pStyle w:val="Paragraphedeliste"/>
        <w:numPr>
          <w:ilvl w:val="0"/>
          <w:numId w:val="2"/>
        </w:numPr>
        <w:ind w:left="567" w:firstLine="0"/>
        <w:jc w:val="both"/>
        <w:rPr>
          <w:bCs/>
          <w:color w:val="auto"/>
          <w:sz w:val="22"/>
          <w:szCs w:val="22"/>
          <w:lang w:val="fr-FR"/>
        </w:rPr>
      </w:pPr>
      <w:r w:rsidRPr="00D2710E">
        <w:rPr>
          <w:bCs/>
          <w:color w:val="auto"/>
          <w:sz w:val="22"/>
          <w:szCs w:val="22"/>
          <w:lang w:val="fr-FR"/>
        </w:rPr>
        <w:t xml:space="preserve">Décret n° 2011-1227 du 30 septembre 2011 relatif à la qualité nutritionnelle des repas servis dans le cadre de la restauration scolaire </w:t>
      </w:r>
      <w:r>
        <w:rPr>
          <w:bCs/>
          <w:color w:val="auto"/>
          <w:sz w:val="22"/>
          <w:szCs w:val="22"/>
          <w:lang w:val="fr-FR"/>
        </w:rPr>
        <w:t xml:space="preserve">consultable </w:t>
      </w:r>
      <w:r w:rsidRPr="00D2710E">
        <w:rPr>
          <w:bCs/>
          <w:color w:val="auto"/>
          <w:sz w:val="22"/>
          <w:szCs w:val="22"/>
          <w:lang w:val="fr-FR"/>
        </w:rPr>
        <w:t>sur</w:t>
      </w:r>
      <w:r>
        <w:rPr>
          <w:bCs/>
          <w:color w:val="auto"/>
          <w:sz w:val="22"/>
          <w:szCs w:val="22"/>
          <w:lang w:val="fr-FR"/>
        </w:rPr>
        <w:t xml:space="preserve"> le site gouvernemental :</w:t>
      </w:r>
    </w:p>
    <w:p w:rsidR="008419B2" w:rsidRPr="00DA1C30" w:rsidRDefault="00D50A48" w:rsidP="006A6A12">
      <w:pPr>
        <w:pStyle w:val="Paragraphedeliste"/>
        <w:ind w:left="567"/>
        <w:jc w:val="both"/>
        <w:rPr>
          <w:bCs/>
          <w:color w:val="auto"/>
          <w:sz w:val="20"/>
          <w:szCs w:val="22"/>
          <w:lang w:val="fr-FR"/>
        </w:rPr>
      </w:pPr>
      <w:hyperlink r:id="rId7" w:history="1">
        <w:r w:rsidR="008419B2" w:rsidRPr="00DA1C30">
          <w:rPr>
            <w:rStyle w:val="Lienhypertexte"/>
            <w:bCs/>
            <w:sz w:val="20"/>
            <w:szCs w:val="22"/>
            <w:lang w:val="fr-FR"/>
          </w:rPr>
          <w:t>http://www.legifrance.gouv.fr/affichTexte.do?cidTexte=JORFTEXT000024614716&amp;dateTexte&amp;categorieLien=id</w:t>
        </w:r>
      </w:hyperlink>
    </w:p>
    <w:p w:rsidR="00DA1C30" w:rsidRDefault="008419B2" w:rsidP="008419B2">
      <w:pPr>
        <w:pStyle w:val="Paragraphedeliste"/>
        <w:numPr>
          <w:ilvl w:val="0"/>
          <w:numId w:val="2"/>
        </w:numPr>
        <w:ind w:left="567" w:firstLine="0"/>
        <w:jc w:val="both"/>
        <w:rPr>
          <w:bCs/>
          <w:color w:val="auto"/>
          <w:sz w:val="22"/>
          <w:szCs w:val="22"/>
          <w:lang w:val="fr-FR"/>
        </w:rPr>
      </w:pPr>
      <w:r w:rsidRPr="00D2710E">
        <w:rPr>
          <w:bCs/>
          <w:color w:val="auto"/>
          <w:sz w:val="22"/>
          <w:szCs w:val="22"/>
          <w:lang w:val="fr-FR"/>
        </w:rPr>
        <w:t xml:space="preserve">Arrêté du 30 septembre 2011 relatif à la qualité nutritionnelle des repas servis dans le cadre de la restauration scolaire </w:t>
      </w:r>
      <w:r>
        <w:rPr>
          <w:bCs/>
          <w:color w:val="auto"/>
          <w:sz w:val="22"/>
          <w:szCs w:val="22"/>
          <w:lang w:val="fr-FR"/>
        </w:rPr>
        <w:t xml:space="preserve">consultable </w:t>
      </w:r>
      <w:r w:rsidRPr="00D2710E">
        <w:rPr>
          <w:bCs/>
          <w:color w:val="auto"/>
          <w:sz w:val="22"/>
          <w:szCs w:val="22"/>
          <w:lang w:val="fr-FR"/>
        </w:rPr>
        <w:t>sur</w:t>
      </w:r>
      <w:r>
        <w:rPr>
          <w:bCs/>
          <w:color w:val="auto"/>
          <w:sz w:val="22"/>
          <w:szCs w:val="22"/>
          <w:lang w:val="fr-FR"/>
        </w:rPr>
        <w:t xml:space="preserve"> le site gouvernemental :</w:t>
      </w:r>
    </w:p>
    <w:p w:rsidR="008419B2" w:rsidRPr="00DA1C30" w:rsidRDefault="00D50A48" w:rsidP="00DA1C30">
      <w:pPr>
        <w:pStyle w:val="Paragraphedeliste"/>
        <w:ind w:left="567"/>
        <w:jc w:val="both"/>
        <w:rPr>
          <w:bCs/>
          <w:color w:val="auto"/>
          <w:sz w:val="20"/>
          <w:szCs w:val="22"/>
          <w:lang w:val="fr-FR"/>
        </w:rPr>
      </w:pPr>
      <w:hyperlink r:id="rId8" w:history="1">
        <w:r w:rsidR="008419B2" w:rsidRPr="00DA1C30">
          <w:rPr>
            <w:rStyle w:val="Lienhypertexte"/>
            <w:bCs/>
            <w:sz w:val="20"/>
            <w:szCs w:val="22"/>
            <w:lang w:val="fr-FR"/>
          </w:rPr>
          <w:t>http://www.legifrance.gouv.fr/affichTexte.do?cidTexte=JORFTEXT000024614763</w:t>
        </w:r>
      </w:hyperlink>
    </w:p>
    <w:p w:rsidR="00DA1C30" w:rsidRDefault="008419B2" w:rsidP="008419B2">
      <w:pPr>
        <w:pStyle w:val="Paragraphedeliste"/>
        <w:numPr>
          <w:ilvl w:val="0"/>
          <w:numId w:val="2"/>
        </w:numPr>
        <w:ind w:left="567" w:firstLine="0"/>
        <w:jc w:val="both"/>
        <w:rPr>
          <w:bCs/>
          <w:color w:val="auto"/>
          <w:sz w:val="22"/>
          <w:szCs w:val="22"/>
          <w:lang w:val="fr-FR"/>
        </w:rPr>
      </w:pPr>
      <w:r w:rsidRPr="00DB6847">
        <w:rPr>
          <w:bCs/>
          <w:color w:val="auto"/>
          <w:sz w:val="22"/>
          <w:szCs w:val="22"/>
          <w:lang w:val="fr-FR"/>
        </w:rPr>
        <w:t>Règlement n°1169/2011 dit INCO, publié au JOUE le 22 novembre 2011 concernant l’information du consommate</w:t>
      </w:r>
      <w:r>
        <w:rPr>
          <w:bCs/>
          <w:color w:val="auto"/>
          <w:sz w:val="22"/>
          <w:szCs w:val="22"/>
          <w:lang w:val="fr-FR"/>
        </w:rPr>
        <w:t>ur sur les denrées alimentaires consultable sur le site de l’Union Européenne :</w:t>
      </w:r>
    </w:p>
    <w:p w:rsidR="008419B2" w:rsidRPr="00DA1C30" w:rsidRDefault="00D50A48" w:rsidP="00DA1C30">
      <w:pPr>
        <w:pStyle w:val="Paragraphedeliste"/>
        <w:ind w:left="567"/>
        <w:jc w:val="both"/>
        <w:rPr>
          <w:bCs/>
          <w:color w:val="auto"/>
          <w:sz w:val="20"/>
          <w:szCs w:val="22"/>
          <w:lang w:val="fr-FR"/>
        </w:rPr>
      </w:pPr>
      <w:hyperlink r:id="rId9" w:history="1">
        <w:r w:rsidR="008419B2" w:rsidRPr="00DA1C30">
          <w:rPr>
            <w:rStyle w:val="Lienhypertexte"/>
            <w:bCs/>
            <w:sz w:val="20"/>
            <w:szCs w:val="22"/>
            <w:lang w:val="fr-FR"/>
          </w:rPr>
          <w:t>https://eur-lex.europa.eu/LexUriServ/LexUriServ.do?uri=OJ:L:2011:304:0018:0063:fr:PDF</w:t>
        </w:r>
      </w:hyperlink>
    </w:p>
    <w:p w:rsidR="008419B2" w:rsidRPr="00DA1C30" w:rsidRDefault="00D50A48" w:rsidP="008419B2">
      <w:pPr>
        <w:tabs>
          <w:tab w:val="left" w:pos="2520"/>
        </w:tabs>
        <w:ind w:left="567"/>
        <w:jc w:val="both"/>
        <w:rPr>
          <w:sz w:val="20"/>
        </w:rPr>
      </w:pPr>
      <w:hyperlink r:id="rId10" w:tgtFrame="_blank" w:history="1">
        <w:r w:rsidR="008419B2" w:rsidRPr="00DA1C30">
          <w:rPr>
            <w:rStyle w:val="Lienhypertexte"/>
            <w:sz w:val="20"/>
          </w:rPr>
          <w:t>Recommandations nutritionnelles pour le milieu scolaire - Version 1.0</w:t>
        </w:r>
      </w:hyperlink>
    </w:p>
    <w:p w:rsidR="008419B2" w:rsidRPr="00DA1C30" w:rsidRDefault="00D50A48" w:rsidP="00DA1C30">
      <w:pPr>
        <w:pStyle w:val="Paragraphedeliste"/>
        <w:ind w:left="567"/>
        <w:jc w:val="both"/>
        <w:rPr>
          <w:bCs/>
          <w:color w:val="auto"/>
          <w:sz w:val="18"/>
          <w:szCs w:val="22"/>
          <w:lang w:val="fr-FR"/>
        </w:rPr>
      </w:pPr>
      <w:hyperlink r:id="rId11" w:tgtFrame="_blank" w:history="1">
        <w:r w:rsidR="008419B2" w:rsidRPr="00DA1C30">
          <w:rPr>
            <w:rStyle w:val="Lienhypertexte"/>
            <w:sz w:val="20"/>
          </w:rPr>
          <w:t xml:space="preserve">Guide de </w:t>
        </w:r>
        <w:proofErr w:type="spellStart"/>
        <w:r w:rsidR="008419B2" w:rsidRPr="00DA1C30">
          <w:rPr>
            <w:rStyle w:val="Lienhypertexte"/>
            <w:sz w:val="20"/>
          </w:rPr>
          <w:t>l’achat</w:t>
        </w:r>
        <w:proofErr w:type="spellEnd"/>
        <w:r w:rsidR="008419B2" w:rsidRPr="00DA1C30">
          <w:rPr>
            <w:rStyle w:val="Lienhypertexte"/>
            <w:sz w:val="20"/>
          </w:rPr>
          <w:t xml:space="preserve"> public de fruits, </w:t>
        </w:r>
        <w:proofErr w:type="spellStart"/>
        <w:r w:rsidR="008419B2" w:rsidRPr="00DA1C30">
          <w:rPr>
            <w:rStyle w:val="Lienhypertexte"/>
            <w:sz w:val="20"/>
          </w:rPr>
          <w:t>légumes</w:t>
        </w:r>
        <w:proofErr w:type="spellEnd"/>
        <w:r w:rsidR="008419B2" w:rsidRPr="00DA1C30">
          <w:rPr>
            <w:rStyle w:val="Lienhypertexte"/>
            <w:sz w:val="20"/>
          </w:rPr>
          <w:t xml:space="preserve"> </w:t>
        </w:r>
        <w:proofErr w:type="gramStart"/>
        <w:r w:rsidR="008419B2" w:rsidRPr="00DA1C30">
          <w:rPr>
            <w:rStyle w:val="Lienhypertexte"/>
            <w:sz w:val="20"/>
          </w:rPr>
          <w:t>et</w:t>
        </w:r>
        <w:proofErr w:type="gramEnd"/>
        <w:r w:rsidR="008419B2" w:rsidRPr="00DA1C30">
          <w:rPr>
            <w:rStyle w:val="Lienhypertexte"/>
            <w:sz w:val="20"/>
          </w:rPr>
          <w:t xml:space="preserve"> pommes de </w:t>
        </w:r>
        <w:proofErr w:type="spellStart"/>
        <w:r w:rsidR="008419B2" w:rsidRPr="00DA1C30">
          <w:rPr>
            <w:rStyle w:val="Lienhypertexte"/>
            <w:sz w:val="20"/>
          </w:rPr>
          <w:t>terre</w:t>
        </w:r>
        <w:proofErr w:type="spellEnd"/>
        <w:r w:rsidR="008419B2" w:rsidRPr="00DA1C30">
          <w:rPr>
            <w:rStyle w:val="Lienhypertexte"/>
            <w:sz w:val="20"/>
          </w:rPr>
          <w:t xml:space="preserve"> à </w:t>
        </w:r>
        <w:proofErr w:type="spellStart"/>
        <w:r w:rsidR="008419B2" w:rsidRPr="00DA1C30">
          <w:rPr>
            <w:rStyle w:val="Lienhypertexte"/>
            <w:sz w:val="20"/>
          </w:rPr>
          <w:t>l’état</w:t>
        </w:r>
        <w:proofErr w:type="spellEnd"/>
        <w:r w:rsidR="008419B2" w:rsidRPr="00DA1C30">
          <w:rPr>
            <w:rStyle w:val="Lienhypertexte"/>
            <w:sz w:val="20"/>
          </w:rPr>
          <w:t xml:space="preserve"> </w:t>
        </w:r>
        <w:proofErr w:type="spellStart"/>
        <w:r w:rsidR="008419B2" w:rsidRPr="00DA1C30">
          <w:rPr>
            <w:rStyle w:val="Lienhypertexte"/>
            <w:sz w:val="20"/>
          </w:rPr>
          <w:t>frais</w:t>
        </w:r>
        <w:proofErr w:type="spellEnd"/>
        <w:r w:rsidR="008419B2" w:rsidRPr="00DA1C30">
          <w:rPr>
            <w:rStyle w:val="Lienhypertexte"/>
            <w:sz w:val="20"/>
          </w:rPr>
          <w:t> </w:t>
        </w:r>
        <w:r w:rsidR="008419B2" w:rsidRPr="00DA1C30">
          <w:rPr>
            <w:rStyle w:val="lev"/>
            <w:color w:val="0000FF"/>
            <w:sz w:val="20"/>
            <w:u w:val="single"/>
          </w:rPr>
          <w:t>(</w:t>
        </w:r>
        <w:proofErr w:type="spellStart"/>
        <w:r w:rsidR="008419B2" w:rsidRPr="00DA1C30">
          <w:rPr>
            <w:rStyle w:val="lev"/>
            <w:color w:val="0000FF"/>
            <w:sz w:val="20"/>
            <w:u w:val="single"/>
          </w:rPr>
          <w:t>mise</w:t>
        </w:r>
        <w:proofErr w:type="spellEnd"/>
        <w:r w:rsidR="008419B2" w:rsidRPr="00DA1C30">
          <w:rPr>
            <w:rStyle w:val="lev"/>
            <w:color w:val="0000FF"/>
            <w:sz w:val="20"/>
            <w:u w:val="single"/>
          </w:rPr>
          <w:t xml:space="preserve"> à jour </w:t>
        </w:r>
        <w:proofErr w:type="spellStart"/>
        <w:r w:rsidR="008419B2" w:rsidRPr="00DA1C30">
          <w:rPr>
            <w:rStyle w:val="lev"/>
            <w:color w:val="0000FF"/>
            <w:sz w:val="20"/>
            <w:u w:val="single"/>
          </w:rPr>
          <w:t>juillet</w:t>
        </w:r>
        <w:proofErr w:type="spellEnd"/>
        <w:r w:rsidR="008419B2" w:rsidRPr="00DA1C30">
          <w:rPr>
            <w:rStyle w:val="lev"/>
            <w:color w:val="0000FF"/>
            <w:sz w:val="20"/>
            <w:u w:val="single"/>
          </w:rPr>
          <w:t xml:space="preserve"> 2012)</w:t>
        </w:r>
      </w:hyperlink>
    </w:p>
    <w:p w:rsidR="006E0984" w:rsidRPr="00DB6847" w:rsidRDefault="006E0984" w:rsidP="006E0984">
      <w:pPr>
        <w:tabs>
          <w:tab w:val="left" w:pos="2520"/>
        </w:tabs>
        <w:ind w:left="567"/>
        <w:jc w:val="both"/>
        <w:rPr>
          <w:bCs/>
          <w:sz w:val="22"/>
          <w:szCs w:val="22"/>
        </w:rPr>
      </w:pPr>
    </w:p>
    <w:p w:rsidR="006E0984" w:rsidRPr="00DA1C30" w:rsidRDefault="006E0984" w:rsidP="00DA1C30">
      <w:pPr>
        <w:tabs>
          <w:tab w:val="left" w:pos="2520"/>
        </w:tabs>
        <w:jc w:val="both"/>
        <w:rPr>
          <w:bCs/>
          <w:sz w:val="22"/>
          <w:szCs w:val="22"/>
        </w:rPr>
      </w:pPr>
      <w:r w:rsidRPr="00DA1C30">
        <w:rPr>
          <w:bCs/>
          <w:sz w:val="22"/>
          <w:szCs w:val="22"/>
        </w:rPr>
        <w:t>Les produits proposés doivent répondre à toutes les spécifications énoncées dans les lois et décrets se rapportant aux denrées alimentaires destinées à l’alimentation humaine et applicables pendant la période d’exécution du marché. Ils doivent être en tous points conformes à la réglementation en vigueur les concernant et devront, en particulier en ce qui concerne la récolte, l’abattage, la transformation, le conditionnement, l’étiquetage et le transport, répondre au minimum aux dispositions prévues par les différents textes (code de la consommation, règlement européen, directives européennes, lois françaises, code des usages, normes AFNOR).</w:t>
      </w:r>
    </w:p>
    <w:p w:rsidR="006E0984" w:rsidRPr="00DA1C30" w:rsidRDefault="006E0984" w:rsidP="00DA1C30">
      <w:pPr>
        <w:tabs>
          <w:tab w:val="left" w:pos="2520"/>
        </w:tabs>
        <w:jc w:val="both"/>
        <w:rPr>
          <w:bCs/>
          <w:sz w:val="22"/>
          <w:szCs w:val="22"/>
        </w:rPr>
      </w:pPr>
    </w:p>
    <w:p w:rsidR="006E0984" w:rsidRPr="00DA1C30" w:rsidRDefault="006E0984" w:rsidP="00DA1C30">
      <w:pPr>
        <w:tabs>
          <w:tab w:val="left" w:pos="2520"/>
        </w:tabs>
        <w:jc w:val="both"/>
        <w:rPr>
          <w:bCs/>
          <w:sz w:val="22"/>
          <w:szCs w:val="22"/>
        </w:rPr>
      </w:pPr>
      <w:r w:rsidRPr="00DA1C30">
        <w:rPr>
          <w:bCs/>
          <w:sz w:val="22"/>
          <w:szCs w:val="22"/>
        </w:rPr>
        <w:t>Outre les textes légaux et réglementaires qui devront être scrupuleusement respectés, les fournitures devront être conformes aux normes françaises et C.E. homologuées, aux recommandations du GEMRCN (groupe d’étude des marchés restauration collective et nutrition).</w:t>
      </w:r>
    </w:p>
    <w:p w:rsidR="006E0984" w:rsidRPr="00DA1C30" w:rsidRDefault="006E0984" w:rsidP="00DA1C30">
      <w:pPr>
        <w:tabs>
          <w:tab w:val="left" w:pos="2520"/>
        </w:tabs>
        <w:jc w:val="both"/>
        <w:rPr>
          <w:bCs/>
          <w:sz w:val="22"/>
          <w:szCs w:val="22"/>
        </w:rPr>
      </w:pPr>
    </w:p>
    <w:p w:rsidR="006E0984" w:rsidRPr="00DA1C30" w:rsidRDefault="006E0984" w:rsidP="00DA1C30">
      <w:pPr>
        <w:tabs>
          <w:tab w:val="left" w:pos="2520"/>
        </w:tabs>
        <w:jc w:val="both"/>
        <w:rPr>
          <w:bCs/>
          <w:sz w:val="22"/>
          <w:szCs w:val="22"/>
        </w:rPr>
      </w:pPr>
      <w:r w:rsidRPr="00DA1C30">
        <w:rPr>
          <w:bCs/>
          <w:sz w:val="22"/>
          <w:szCs w:val="22"/>
        </w:rPr>
        <w:t>Par ailleurs, le cahier des charges de la méthode dite « H.A.C.C.P. » devra être respecté aussi bien en ce qui concerne les produits que les conditions de livraison.</w:t>
      </w:r>
    </w:p>
    <w:p w:rsidR="006E0984" w:rsidRPr="00DA1C30" w:rsidRDefault="006E0984" w:rsidP="00DA1C30">
      <w:pPr>
        <w:tabs>
          <w:tab w:val="left" w:pos="2520"/>
        </w:tabs>
        <w:jc w:val="both"/>
        <w:rPr>
          <w:bCs/>
          <w:sz w:val="22"/>
          <w:szCs w:val="22"/>
        </w:rPr>
      </w:pPr>
    </w:p>
    <w:p w:rsidR="006E0984" w:rsidRPr="00DA1C30" w:rsidRDefault="006E0984" w:rsidP="00DA1C30">
      <w:pPr>
        <w:tabs>
          <w:tab w:val="left" w:pos="2520"/>
        </w:tabs>
        <w:jc w:val="both"/>
        <w:rPr>
          <w:bCs/>
          <w:sz w:val="22"/>
          <w:szCs w:val="22"/>
        </w:rPr>
      </w:pPr>
      <w:r w:rsidRPr="00DA1C30">
        <w:rPr>
          <w:bCs/>
          <w:sz w:val="22"/>
          <w:szCs w:val="22"/>
        </w:rPr>
        <w:t>En application du principe de précaution, les produits révélant la présence d’organismes génétiquement modifiés devront être connus et étiquetés. Les fournisseurs produiront un certificat des industriels et producteurs confirmant l’absence d’O.G.M. dans les produits soumis au marché en application de la législation et de la réglementation (C.E n° 1829/2003).</w:t>
      </w:r>
    </w:p>
    <w:p w:rsidR="006E0984" w:rsidRPr="00DA1C30" w:rsidRDefault="006E0984" w:rsidP="00DA1C30">
      <w:pPr>
        <w:tabs>
          <w:tab w:val="left" w:pos="2520"/>
        </w:tabs>
        <w:jc w:val="both"/>
        <w:rPr>
          <w:bCs/>
          <w:sz w:val="22"/>
          <w:szCs w:val="22"/>
        </w:rPr>
      </w:pPr>
      <w:r w:rsidRPr="00DA1C30">
        <w:rPr>
          <w:bCs/>
          <w:sz w:val="22"/>
          <w:szCs w:val="22"/>
        </w:rPr>
        <w:t>Il en est de même, au regard du règlement n° 50/2000 du 10.01.2000 concernant l’étiquetage des denrées et ingrédients alimentaires contenant des additifs et aromes génétiquement modifiés en produits à partir d’O.G.M.</w:t>
      </w:r>
    </w:p>
    <w:p w:rsidR="006E0984" w:rsidRPr="00DA1C30" w:rsidRDefault="006E0984" w:rsidP="00DA1C30">
      <w:pPr>
        <w:tabs>
          <w:tab w:val="left" w:pos="2520"/>
        </w:tabs>
        <w:jc w:val="both"/>
        <w:rPr>
          <w:bCs/>
          <w:sz w:val="22"/>
          <w:szCs w:val="22"/>
        </w:rPr>
      </w:pPr>
    </w:p>
    <w:p w:rsidR="006E0984" w:rsidRPr="00DA1C30" w:rsidRDefault="006E0984" w:rsidP="00DA1C30">
      <w:pPr>
        <w:tabs>
          <w:tab w:val="left" w:pos="2520"/>
        </w:tabs>
        <w:jc w:val="both"/>
        <w:rPr>
          <w:bCs/>
          <w:sz w:val="22"/>
          <w:szCs w:val="22"/>
        </w:rPr>
      </w:pPr>
      <w:r w:rsidRPr="00DA1C30">
        <w:rPr>
          <w:bCs/>
          <w:sz w:val="22"/>
          <w:szCs w:val="22"/>
        </w:rPr>
        <w:t>De plus, le pouvoir adjudicateur se réserve le droit de faire effectuer des analyses inopinées, pendant la durée du marché, sur les produits afin de vérifier leur conformité au C.C.T.P. étant entendu que ces contrôles seront à la charge du titulaire, le choix du laboratoire demeure à sa convenance.</w:t>
      </w:r>
    </w:p>
    <w:p w:rsidR="006E0984" w:rsidRPr="00DA1C30" w:rsidRDefault="006E0984" w:rsidP="00DA1C30">
      <w:pPr>
        <w:tabs>
          <w:tab w:val="left" w:pos="2520"/>
        </w:tabs>
        <w:jc w:val="both"/>
        <w:rPr>
          <w:bCs/>
          <w:sz w:val="22"/>
          <w:szCs w:val="22"/>
        </w:rPr>
      </w:pPr>
    </w:p>
    <w:p w:rsidR="00374E44" w:rsidRPr="00DA1C30" w:rsidRDefault="006E0984" w:rsidP="00DA1C30">
      <w:pPr>
        <w:tabs>
          <w:tab w:val="left" w:pos="2520"/>
        </w:tabs>
        <w:jc w:val="both"/>
        <w:rPr>
          <w:bCs/>
          <w:sz w:val="22"/>
          <w:szCs w:val="22"/>
        </w:rPr>
      </w:pPr>
      <w:r w:rsidRPr="00DA1C30">
        <w:rPr>
          <w:bCs/>
          <w:sz w:val="22"/>
          <w:szCs w:val="22"/>
        </w:rPr>
        <w:t>Les produits livrés dans le cadre de ce marché doivent être conformes aux fiches techniques.</w:t>
      </w:r>
    </w:p>
    <w:p w:rsidR="006E0984" w:rsidRPr="00DA1C30" w:rsidRDefault="006E0984" w:rsidP="00DA1C30">
      <w:pPr>
        <w:tabs>
          <w:tab w:val="left" w:pos="2520"/>
        </w:tabs>
        <w:jc w:val="both"/>
        <w:rPr>
          <w:bCs/>
          <w:sz w:val="22"/>
          <w:szCs w:val="22"/>
        </w:rPr>
      </w:pPr>
    </w:p>
    <w:p w:rsidR="006A6A12" w:rsidRPr="000A5629" w:rsidRDefault="006A6A12" w:rsidP="006A6A12">
      <w:pPr>
        <w:pStyle w:val="Titre3"/>
        <w:numPr>
          <w:ilvl w:val="1"/>
          <w:numId w:val="7"/>
        </w:numPr>
        <w:rPr>
          <w:color w:val="365F91"/>
          <w:u w:val="single"/>
        </w:rPr>
      </w:pPr>
      <w:bookmarkStart w:id="5" w:name="_Toc487446970"/>
      <w:bookmarkStart w:id="6" w:name="_Toc487447776"/>
      <w:r w:rsidRPr="000A5629">
        <w:rPr>
          <w:color w:val="365F91"/>
          <w:u w:val="single"/>
        </w:rPr>
        <w:lastRenderedPageBreak/>
        <w:t>Concernant  les conditions d’entreposage et de transport</w:t>
      </w:r>
      <w:bookmarkEnd w:id="5"/>
      <w:bookmarkEnd w:id="6"/>
    </w:p>
    <w:p w:rsidR="006E0984" w:rsidRPr="00DB6847" w:rsidRDefault="006E0984" w:rsidP="00DA1C30">
      <w:pPr>
        <w:tabs>
          <w:tab w:val="left" w:pos="2520"/>
        </w:tabs>
        <w:jc w:val="both"/>
        <w:rPr>
          <w:bCs/>
          <w:sz w:val="22"/>
          <w:szCs w:val="22"/>
        </w:rPr>
      </w:pPr>
    </w:p>
    <w:p w:rsidR="006E0984" w:rsidRPr="00DB6847" w:rsidRDefault="006E0984" w:rsidP="006E0984">
      <w:pPr>
        <w:tabs>
          <w:tab w:val="left" w:pos="2520"/>
        </w:tabs>
        <w:jc w:val="both"/>
        <w:rPr>
          <w:bCs/>
          <w:sz w:val="22"/>
          <w:szCs w:val="22"/>
        </w:rPr>
      </w:pPr>
      <w:r w:rsidRPr="00DB6847">
        <w:rPr>
          <w:bCs/>
          <w:sz w:val="22"/>
          <w:szCs w:val="22"/>
        </w:rPr>
        <w:t xml:space="preserve">Devront être conforme aux dispositions réglementaires de : </w:t>
      </w:r>
    </w:p>
    <w:p w:rsidR="006E0984" w:rsidRPr="00DB6847" w:rsidRDefault="006E0984" w:rsidP="006E0984">
      <w:pPr>
        <w:tabs>
          <w:tab w:val="left" w:pos="2520"/>
        </w:tabs>
        <w:ind w:left="360"/>
        <w:jc w:val="both"/>
        <w:rPr>
          <w:bCs/>
          <w:sz w:val="22"/>
          <w:szCs w:val="22"/>
        </w:rPr>
      </w:pPr>
    </w:p>
    <w:p w:rsidR="003E064B" w:rsidRDefault="003E064B" w:rsidP="003E064B">
      <w:pPr>
        <w:pStyle w:val="Normal2"/>
        <w:numPr>
          <w:ilvl w:val="0"/>
          <w:numId w:val="3"/>
        </w:numPr>
        <w:rPr>
          <w:color w:val="auto"/>
          <w:szCs w:val="22"/>
          <w:lang w:val="fr-FR"/>
        </w:rPr>
      </w:pPr>
      <w:r w:rsidRPr="00DB6847">
        <w:rPr>
          <w:color w:val="auto"/>
          <w:szCs w:val="22"/>
          <w:lang w:val="fr-FR"/>
        </w:rPr>
        <w:t>L’arrêté ministériel du 20 juillet 1998 et sa version consolidée au 12/02/2015 fixant les conditions techniques et hygiéniques applicables au transport des aliments.</w:t>
      </w:r>
    </w:p>
    <w:p w:rsidR="003E064B" w:rsidRPr="00F61F83" w:rsidRDefault="00D50A48" w:rsidP="003E064B">
      <w:pPr>
        <w:pStyle w:val="Normal2"/>
        <w:ind w:left="0" w:firstLine="0"/>
        <w:rPr>
          <w:color w:val="auto"/>
          <w:sz w:val="20"/>
          <w:szCs w:val="22"/>
          <w:lang w:val="fr-FR"/>
        </w:rPr>
      </w:pPr>
      <w:hyperlink r:id="rId12" w:history="1">
        <w:r w:rsidR="003E064B" w:rsidRPr="00F61F83">
          <w:rPr>
            <w:rStyle w:val="Lienhypertexte"/>
            <w:sz w:val="20"/>
            <w:szCs w:val="22"/>
            <w:lang w:val="fr-FR"/>
          </w:rPr>
          <w:t>https://www.legifrance.gouv.fr/loda/id/JORFTEXT000000193593</w:t>
        </w:r>
      </w:hyperlink>
      <w:r w:rsidR="003E064B" w:rsidRPr="00F61F83">
        <w:rPr>
          <w:color w:val="auto"/>
          <w:sz w:val="20"/>
          <w:szCs w:val="22"/>
          <w:lang w:val="fr-FR"/>
        </w:rPr>
        <w:t xml:space="preserve"> </w:t>
      </w:r>
    </w:p>
    <w:p w:rsidR="006E0984" w:rsidRPr="00DB6847" w:rsidRDefault="006E0984" w:rsidP="006E0984">
      <w:pPr>
        <w:pStyle w:val="Normal2"/>
        <w:ind w:left="720" w:firstLine="0"/>
        <w:rPr>
          <w:color w:val="auto"/>
          <w:szCs w:val="22"/>
          <w:lang w:val="fr-FR"/>
        </w:rPr>
      </w:pPr>
    </w:p>
    <w:p w:rsidR="006E0984" w:rsidRPr="00DB6847" w:rsidRDefault="006E0984" w:rsidP="006E0984">
      <w:pPr>
        <w:pStyle w:val="Normal2"/>
        <w:ind w:left="0" w:firstLine="0"/>
        <w:rPr>
          <w:b/>
          <w:color w:val="auto"/>
          <w:szCs w:val="22"/>
          <w:lang w:val="fr-FR"/>
        </w:rPr>
      </w:pPr>
      <w:r w:rsidRPr="00DB6847">
        <w:rPr>
          <w:b/>
          <w:color w:val="auto"/>
          <w:szCs w:val="22"/>
          <w:lang w:val="fr-FR"/>
        </w:rPr>
        <w:t>Les véhicules de livraison doivent être maintenus dans un parfait  état  de propreté. Les camions de livraison doivent être réfrigérants ou frigorifiques. Dans certains cas des véhicules isothermes pourront être tolérés. Les véhicules doivent être agréés. Les justificatifs relatifs à ces agréments</w:t>
      </w:r>
      <w:r w:rsidRPr="00DB6847">
        <w:rPr>
          <w:b/>
          <w:i/>
          <w:color w:val="auto"/>
          <w:szCs w:val="22"/>
          <w:lang w:val="fr-FR"/>
        </w:rPr>
        <w:t xml:space="preserve"> </w:t>
      </w:r>
      <w:r w:rsidRPr="00DB6847">
        <w:rPr>
          <w:b/>
          <w:color w:val="auto"/>
          <w:szCs w:val="22"/>
          <w:lang w:val="fr-FR"/>
        </w:rPr>
        <w:t>doivent être fournis à l’appui de l’annexe 3 du CCAP.</w:t>
      </w:r>
    </w:p>
    <w:p w:rsidR="006E0984" w:rsidRPr="00DB6847" w:rsidRDefault="006E0984" w:rsidP="006E0984">
      <w:pPr>
        <w:pStyle w:val="Normal2"/>
        <w:ind w:left="0" w:firstLine="0"/>
        <w:rPr>
          <w:b/>
          <w:i/>
          <w:color w:val="auto"/>
          <w:szCs w:val="22"/>
          <w:lang w:val="fr-FR"/>
        </w:rPr>
      </w:pPr>
    </w:p>
    <w:p w:rsidR="003E064B" w:rsidRDefault="003E064B" w:rsidP="003E064B">
      <w:pPr>
        <w:pStyle w:val="Normal2"/>
        <w:numPr>
          <w:ilvl w:val="0"/>
          <w:numId w:val="3"/>
        </w:numPr>
        <w:rPr>
          <w:color w:val="auto"/>
          <w:szCs w:val="22"/>
          <w:lang w:val="fr-FR"/>
        </w:rPr>
      </w:pPr>
      <w:r w:rsidRPr="00DB6847">
        <w:rPr>
          <w:color w:val="auto"/>
          <w:szCs w:val="22"/>
          <w:lang w:val="fr-FR"/>
        </w:rPr>
        <w:t xml:space="preserve">Du décret 99-35 du 15 janvier 1999 (JO du 19 janvier) prenant en considération les dispositions des trois directives communautaires relatives à l’hygiène des denrées alimentaires et à leur transport : </w:t>
      </w:r>
      <w:r w:rsidRPr="00DB6847">
        <w:rPr>
          <w:b/>
          <w:color w:val="auto"/>
          <w:szCs w:val="22"/>
          <w:lang w:val="fr-FR"/>
        </w:rPr>
        <w:t>Directive C.E.E.</w:t>
      </w:r>
      <w:r w:rsidRPr="00DB6847">
        <w:rPr>
          <w:color w:val="auto"/>
          <w:szCs w:val="22"/>
          <w:lang w:val="fr-FR"/>
        </w:rPr>
        <w:t> : 93/43 du 14 juin 1993 et sa version rectifiée du 05/09/1995, 96/3 du 26 janvier 1996 et 98/28 du 29 avril 1998.</w:t>
      </w:r>
    </w:p>
    <w:p w:rsidR="003E064B" w:rsidRPr="00F61F83" w:rsidRDefault="00D50A48" w:rsidP="003E064B">
      <w:pPr>
        <w:pStyle w:val="Normal2"/>
        <w:ind w:left="0" w:firstLine="0"/>
        <w:rPr>
          <w:color w:val="auto"/>
          <w:sz w:val="20"/>
          <w:szCs w:val="22"/>
          <w:lang w:val="fr-FR"/>
        </w:rPr>
      </w:pPr>
      <w:hyperlink r:id="rId13" w:history="1">
        <w:r w:rsidR="003E064B" w:rsidRPr="00F61F83">
          <w:rPr>
            <w:rStyle w:val="Lienhypertexte"/>
            <w:sz w:val="20"/>
            <w:szCs w:val="22"/>
            <w:lang w:val="fr-FR"/>
          </w:rPr>
          <w:t>https://www.legifrance.gouv.fr/jorf/id/JORFTEXT000000393027</w:t>
        </w:r>
      </w:hyperlink>
      <w:r w:rsidR="003E064B" w:rsidRPr="00F61F83">
        <w:rPr>
          <w:color w:val="auto"/>
          <w:sz w:val="20"/>
          <w:szCs w:val="22"/>
          <w:lang w:val="fr-FR"/>
        </w:rPr>
        <w:t xml:space="preserve"> </w:t>
      </w:r>
    </w:p>
    <w:p w:rsidR="006E0984" w:rsidRPr="00DB6847" w:rsidRDefault="006E0984" w:rsidP="006E0984">
      <w:pPr>
        <w:pStyle w:val="Normal2"/>
        <w:ind w:left="0" w:firstLine="0"/>
        <w:rPr>
          <w:b/>
          <w:i/>
          <w:color w:val="auto"/>
          <w:lang w:val="fr-FR"/>
        </w:rPr>
      </w:pPr>
    </w:p>
    <w:p w:rsidR="006E0984" w:rsidRDefault="006E0984" w:rsidP="006E0984">
      <w:pPr>
        <w:pStyle w:val="Normal2"/>
        <w:ind w:left="0" w:firstLine="0"/>
        <w:rPr>
          <w:b/>
          <w:color w:val="auto"/>
          <w:lang w:val="fr-FR"/>
        </w:rPr>
      </w:pPr>
      <w:r w:rsidRPr="00DB6847">
        <w:rPr>
          <w:b/>
          <w:color w:val="auto"/>
          <w:lang w:val="fr-FR"/>
        </w:rPr>
        <w:t xml:space="preserve">Le livreur devra porter une tenue adaptée à la manipulation de denrées et répondant aux normes d’hygiène conformément à celles énoncées dans le C.C.A.P. </w:t>
      </w:r>
    </w:p>
    <w:p w:rsidR="006E0984" w:rsidRDefault="006E0984" w:rsidP="006E0984">
      <w:pPr>
        <w:ind w:left="780"/>
        <w:jc w:val="both"/>
      </w:pPr>
    </w:p>
    <w:p w:rsidR="006A6A12" w:rsidRPr="009C4CB1" w:rsidRDefault="006A6A12" w:rsidP="006A6A12">
      <w:pPr>
        <w:pStyle w:val="Titre3"/>
        <w:numPr>
          <w:ilvl w:val="1"/>
          <w:numId w:val="7"/>
        </w:numPr>
        <w:tabs>
          <w:tab w:val="left" w:pos="851"/>
        </w:tabs>
        <w:rPr>
          <w:color w:val="365F91"/>
          <w:u w:val="single"/>
        </w:rPr>
      </w:pPr>
      <w:r w:rsidRPr="009C4CB1">
        <w:rPr>
          <w:color w:val="365F91"/>
          <w:u w:val="single"/>
        </w:rPr>
        <w:t>Admission de la fourniture :</w:t>
      </w:r>
    </w:p>
    <w:p w:rsidR="006E0984" w:rsidRDefault="006E0984" w:rsidP="006E0984">
      <w:pPr>
        <w:jc w:val="both"/>
      </w:pPr>
      <w:r>
        <w:t xml:space="preserve">Des </w:t>
      </w:r>
      <w:r w:rsidR="00DA1C30">
        <w:t>v</w:t>
      </w:r>
      <w:r>
        <w:t>érification</w:t>
      </w:r>
      <w:r w:rsidR="00DA1C30">
        <w:t>s</w:t>
      </w:r>
      <w:r>
        <w:t xml:space="preserve"> quantitatives et qualitatives pourront être </w:t>
      </w:r>
      <w:r w:rsidR="007A12F1">
        <w:t>effectuées</w:t>
      </w:r>
      <w:r>
        <w:t xml:space="preserve"> par l’acheteur.</w:t>
      </w:r>
    </w:p>
    <w:p w:rsidR="007A12F1" w:rsidRPr="00D8657A" w:rsidRDefault="007A12F1" w:rsidP="006E0984">
      <w:pPr>
        <w:jc w:val="both"/>
      </w:pPr>
    </w:p>
    <w:p w:rsidR="006E0984" w:rsidRPr="00DA1C30" w:rsidRDefault="00DA1C30" w:rsidP="00DA1C30">
      <w:pPr>
        <w:pStyle w:val="Titre3"/>
        <w:numPr>
          <w:ilvl w:val="1"/>
          <w:numId w:val="7"/>
        </w:numPr>
        <w:tabs>
          <w:tab w:val="left" w:pos="851"/>
        </w:tabs>
        <w:rPr>
          <w:color w:val="365F91"/>
          <w:u w:val="single"/>
        </w:rPr>
      </w:pPr>
      <w:r w:rsidRPr="00DA1C30">
        <w:rPr>
          <w:color w:val="365F91"/>
          <w:u w:val="single"/>
        </w:rPr>
        <w:t>C</w:t>
      </w:r>
      <w:r w:rsidR="000246DB" w:rsidRPr="00DA1C30">
        <w:rPr>
          <w:color w:val="365F91"/>
          <w:u w:val="single"/>
        </w:rPr>
        <w:t>oncernant</w:t>
      </w:r>
      <w:r w:rsidR="004A16EF" w:rsidRPr="00DA1C30">
        <w:rPr>
          <w:color w:val="365F91"/>
          <w:u w:val="single"/>
        </w:rPr>
        <w:t xml:space="preserve"> les emballages </w:t>
      </w:r>
      <w:r>
        <w:rPr>
          <w:color w:val="365F91"/>
          <w:u w:val="single"/>
        </w:rPr>
        <w:t>et l’</w:t>
      </w:r>
      <w:proofErr w:type="spellStart"/>
      <w:r>
        <w:rPr>
          <w:color w:val="365F91"/>
          <w:u w:val="single"/>
        </w:rPr>
        <w:t>étiquettage</w:t>
      </w:r>
      <w:proofErr w:type="spellEnd"/>
    </w:p>
    <w:p w:rsidR="004A16EF" w:rsidRPr="007A12F1" w:rsidRDefault="004A16EF" w:rsidP="007A12F1">
      <w:pPr>
        <w:pStyle w:val="Normal2"/>
        <w:ind w:left="0" w:firstLine="0"/>
        <w:rPr>
          <w:rStyle w:val="lev"/>
          <w:color w:val="auto"/>
          <w:u w:val="single"/>
          <w:lang w:val="fr-FR"/>
        </w:rPr>
      </w:pPr>
    </w:p>
    <w:p w:rsidR="004A16EF" w:rsidRDefault="004A16EF" w:rsidP="004A16EF">
      <w:pPr>
        <w:jc w:val="both"/>
      </w:pPr>
      <w:r w:rsidRPr="004A16EF">
        <w:t>Les emballages destinés à entrer au contact des fruits et légumes doivent respecter la règlementation communautaire relative aux matériaux destinés à entrer en contac</w:t>
      </w:r>
      <w:r w:rsidR="00DA1C30">
        <w:t xml:space="preserve">t avec les denrées alimentaires. </w:t>
      </w:r>
      <w:r w:rsidRPr="004A16EF">
        <w:t>Règlement (CE) n°1935/2004 de la Commission du 24 octobre 2004</w:t>
      </w:r>
    </w:p>
    <w:p w:rsidR="00A22AA6" w:rsidRDefault="00A22AA6" w:rsidP="00A22AA6">
      <w:pPr>
        <w:numPr>
          <w:ilvl w:val="0"/>
          <w:numId w:val="1"/>
        </w:numPr>
        <w:tabs>
          <w:tab w:val="clear" w:pos="720"/>
        </w:tabs>
        <w:ind w:left="0" w:hanging="11"/>
      </w:pPr>
      <w:r>
        <w:rPr>
          <w:b/>
          <w:bCs/>
        </w:rPr>
        <w:t>Conditionnement</w:t>
      </w:r>
      <w:r>
        <w:t> :</w:t>
      </w:r>
    </w:p>
    <w:p w:rsidR="00A22AA6" w:rsidRDefault="00DA1C30" w:rsidP="00A22AA6">
      <w:pPr>
        <w:jc w:val="both"/>
      </w:pPr>
      <w:r>
        <w:t>L</w:t>
      </w:r>
      <w:r w:rsidR="00A22AA6">
        <w:t>es fruits doivent être entiers, propres, de qualité saine, loyale et marchande. Ils ne doivent pas présenter une odeur ou un goût anormal, ni des altérations internes ou externes graves. Ils doivent être exempts de traces de produits Les fruits et légumes, de quelque origine qu’ils soient, doivent satisfaire aux dispositions de traitement, ainsi que de résidus de pesticides non autorisés ou présents à une dose supérieure au taux maximum toléré.</w:t>
      </w:r>
    </w:p>
    <w:p w:rsidR="00A22AA6" w:rsidRDefault="00A22AA6" w:rsidP="00A22AA6">
      <w:pPr>
        <w:pStyle w:val="Retraitcorpsdetexte"/>
        <w:ind w:left="0" w:hanging="11"/>
        <w:jc w:val="both"/>
      </w:pPr>
      <w:r>
        <w:t>Les colis doivent être homogènes et appartenir au même type d’emballage et de capacité.</w:t>
      </w:r>
    </w:p>
    <w:p w:rsidR="00A22AA6" w:rsidRDefault="00A22AA6" w:rsidP="00A22AA6">
      <w:pPr>
        <w:ind w:hanging="11"/>
        <w:jc w:val="both"/>
      </w:pPr>
      <w:r>
        <w:t>Le marquage doit satisfaire aux dispositions prévues par la réglementation et les normes de qualité. Tous les fruits seront de catégorie I. (l’étiquette verte correspondante doit être apposée sur les emballages).</w:t>
      </w:r>
    </w:p>
    <w:p w:rsidR="00A22AA6" w:rsidRDefault="00A22AA6" w:rsidP="00A22AA6">
      <w:pPr>
        <w:numPr>
          <w:ilvl w:val="0"/>
          <w:numId w:val="1"/>
        </w:numPr>
        <w:ind w:left="0" w:hanging="11"/>
      </w:pPr>
      <w:r>
        <w:rPr>
          <w:b/>
          <w:bCs/>
        </w:rPr>
        <w:t>Etiquetage </w:t>
      </w:r>
      <w:r>
        <w:t xml:space="preserve">: </w:t>
      </w:r>
    </w:p>
    <w:p w:rsidR="00A22AA6" w:rsidRDefault="00A22AA6" w:rsidP="00A22AA6">
      <w:pPr>
        <w:numPr>
          <w:ilvl w:val="1"/>
          <w:numId w:val="1"/>
        </w:numPr>
        <w:tabs>
          <w:tab w:val="clear" w:pos="1440"/>
          <w:tab w:val="num" w:pos="284"/>
        </w:tabs>
        <w:ind w:left="0" w:hanging="11"/>
      </w:pPr>
      <w:r>
        <w:t>Nom et adresse de l’emballeur</w:t>
      </w:r>
    </w:p>
    <w:p w:rsidR="00A22AA6" w:rsidRDefault="00A22AA6" w:rsidP="00A22AA6">
      <w:pPr>
        <w:numPr>
          <w:ilvl w:val="1"/>
          <w:numId w:val="1"/>
        </w:numPr>
        <w:tabs>
          <w:tab w:val="clear" w:pos="1440"/>
          <w:tab w:val="num" w:pos="284"/>
        </w:tabs>
        <w:ind w:left="0" w:hanging="11"/>
      </w:pPr>
      <w:r>
        <w:t>Nature exacte de la marchandise, sauf si le produit est visible de l’extérieur</w:t>
      </w:r>
    </w:p>
    <w:p w:rsidR="00A22AA6" w:rsidRDefault="00A22AA6" w:rsidP="00A22AA6">
      <w:pPr>
        <w:numPr>
          <w:ilvl w:val="1"/>
          <w:numId w:val="1"/>
        </w:numPr>
        <w:tabs>
          <w:tab w:val="clear" w:pos="1440"/>
          <w:tab w:val="num" w:pos="284"/>
        </w:tabs>
        <w:ind w:left="0" w:hanging="11"/>
      </w:pPr>
      <w:r>
        <w:t>Indication de l’origine s’il s’agit de produits importés.</w:t>
      </w:r>
    </w:p>
    <w:p w:rsidR="00A22AA6" w:rsidRPr="004A16EF" w:rsidRDefault="00A22AA6" w:rsidP="004A16EF">
      <w:pPr>
        <w:jc w:val="both"/>
      </w:pPr>
    </w:p>
    <w:p w:rsidR="000246DB" w:rsidRDefault="000246DB">
      <w:pPr>
        <w:rPr>
          <w:b/>
          <w:bCs/>
          <w:sz w:val="28"/>
          <w:szCs w:val="28"/>
        </w:rPr>
      </w:pPr>
      <w:r>
        <w:rPr>
          <w:b/>
          <w:bCs/>
          <w:sz w:val="28"/>
          <w:szCs w:val="28"/>
        </w:rPr>
        <w:br w:type="page"/>
      </w:r>
    </w:p>
    <w:p w:rsidR="00374E44" w:rsidRPr="000246DB" w:rsidRDefault="000246DB" w:rsidP="000246DB">
      <w:pPr>
        <w:shd w:val="clear" w:color="auto" w:fill="DBE5F1" w:themeFill="accent1" w:themeFillTint="33"/>
        <w:rPr>
          <w:rStyle w:val="Emphaseintense"/>
        </w:rPr>
      </w:pPr>
      <w:proofErr w:type="gramStart"/>
      <w:r w:rsidRPr="000246DB">
        <w:rPr>
          <w:rStyle w:val="Emphaseintense"/>
        </w:rPr>
        <w:lastRenderedPageBreak/>
        <w:t>2.</w:t>
      </w:r>
      <w:r w:rsidR="007A12F1" w:rsidRPr="000246DB">
        <w:rPr>
          <w:rStyle w:val="Emphaseintense"/>
        </w:rPr>
        <w:t>NORMES</w:t>
      </w:r>
      <w:proofErr w:type="gramEnd"/>
      <w:r w:rsidR="007A12F1" w:rsidRPr="000246DB">
        <w:rPr>
          <w:rStyle w:val="Emphaseintense"/>
        </w:rPr>
        <w:t xml:space="preserve"> DE QUALITE </w:t>
      </w:r>
      <w:r>
        <w:rPr>
          <w:rStyle w:val="Emphaseintense"/>
        </w:rPr>
        <w:t xml:space="preserve"> ET DE QUALIBRAGE </w:t>
      </w:r>
      <w:r w:rsidR="007A12F1" w:rsidRPr="000246DB">
        <w:rPr>
          <w:rStyle w:val="Emphaseintense"/>
        </w:rPr>
        <w:t>COMMUNES AUX FRUITS ET LEGUMES</w:t>
      </w:r>
      <w:r w:rsidR="00A22AA6" w:rsidRPr="000246DB">
        <w:rPr>
          <w:rStyle w:val="Emphaseintense"/>
        </w:rPr>
        <w:t xml:space="preserve"> </w:t>
      </w:r>
      <w:r w:rsidR="00374E44" w:rsidRPr="000246DB">
        <w:rPr>
          <w:rStyle w:val="Emphaseintense"/>
        </w:rPr>
        <w:t>:</w:t>
      </w:r>
    </w:p>
    <w:p w:rsidR="000246DB" w:rsidRPr="000246DB" w:rsidRDefault="000246DB" w:rsidP="006E0984">
      <w:pPr>
        <w:tabs>
          <w:tab w:val="num" w:pos="284"/>
        </w:tabs>
        <w:ind w:hanging="11"/>
        <w:rPr>
          <w:b/>
        </w:rPr>
      </w:pPr>
    </w:p>
    <w:p w:rsidR="00C21E65" w:rsidRPr="00834C6A" w:rsidRDefault="00D8657A" w:rsidP="00834C6A">
      <w:pPr>
        <w:tabs>
          <w:tab w:val="num" w:pos="284"/>
        </w:tabs>
        <w:ind w:hanging="11"/>
        <w:rPr>
          <w:b/>
          <w:color w:val="365F91" w:themeColor="accent1" w:themeShade="BF"/>
          <w:u w:val="single"/>
        </w:rPr>
      </w:pPr>
      <w:r>
        <w:rPr>
          <w:b/>
          <w:color w:val="365F91" w:themeColor="accent1" w:themeShade="BF"/>
        </w:rPr>
        <w:tab/>
      </w:r>
      <w:r>
        <w:rPr>
          <w:b/>
          <w:color w:val="365F91" w:themeColor="accent1" w:themeShade="BF"/>
        </w:rPr>
        <w:tab/>
      </w:r>
      <w:r>
        <w:rPr>
          <w:b/>
          <w:color w:val="365F91" w:themeColor="accent1" w:themeShade="BF"/>
        </w:rPr>
        <w:tab/>
      </w:r>
      <w:r w:rsidR="000246DB" w:rsidRPr="00D8657A">
        <w:rPr>
          <w:b/>
          <w:color w:val="365F91" w:themeColor="accent1" w:themeShade="BF"/>
        </w:rPr>
        <w:t>2.1</w:t>
      </w:r>
      <w:r w:rsidR="000246DB" w:rsidRPr="00D8657A">
        <w:rPr>
          <w:b/>
          <w:color w:val="365F91" w:themeColor="accent1" w:themeShade="BF"/>
          <w:u w:val="single"/>
        </w:rPr>
        <w:t xml:space="preserve"> Qualité</w:t>
      </w:r>
    </w:p>
    <w:p w:rsidR="00834C6A" w:rsidRDefault="00834C6A" w:rsidP="00C21E65">
      <w:pPr>
        <w:rPr>
          <w:b/>
          <w:bCs/>
        </w:rPr>
      </w:pPr>
    </w:p>
    <w:p w:rsidR="00374E44" w:rsidRDefault="00C21E65" w:rsidP="00C21E65">
      <w:r>
        <w:rPr>
          <w:b/>
          <w:bCs/>
        </w:rPr>
        <w:t xml:space="preserve">- </w:t>
      </w:r>
      <w:r w:rsidR="00AE797B" w:rsidRPr="00DA1C30">
        <w:rPr>
          <w:b/>
          <w:bCs/>
        </w:rPr>
        <w:t>Maturité</w:t>
      </w:r>
      <w:r w:rsidR="00AE797B">
        <w:t> :</w:t>
      </w:r>
      <w:r w:rsidR="00DA1C30">
        <w:t xml:space="preserve"> t</w:t>
      </w:r>
      <w:r w:rsidR="00AE797B">
        <w:t>ous les fruits et légumes livrés devront être mûrs à point pour être consommés dans les 4 jours qui suivent la livraison.</w:t>
      </w:r>
    </w:p>
    <w:p w:rsidR="00AE797B" w:rsidRDefault="00C21E65" w:rsidP="00C21E65">
      <w:r>
        <w:rPr>
          <w:b/>
          <w:bCs/>
        </w:rPr>
        <w:t xml:space="preserve">- </w:t>
      </w:r>
      <w:r w:rsidR="00AE797B">
        <w:rPr>
          <w:b/>
          <w:bCs/>
        </w:rPr>
        <w:t>Tolérance</w:t>
      </w:r>
      <w:r w:rsidR="00AE797B">
        <w:t xml:space="preserve"> de qualité et calibre dans la catégorie I  est de + ou – 10 % ;</w:t>
      </w:r>
    </w:p>
    <w:p w:rsidR="00AE797B" w:rsidRDefault="00C21E65" w:rsidP="00C21E65">
      <w:r>
        <w:rPr>
          <w:b/>
          <w:bCs/>
        </w:rPr>
        <w:t xml:space="preserve">- </w:t>
      </w:r>
      <w:r w:rsidR="00AE797B">
        <w:rPr>
          <w:b/>
          <w:bCs/>
        </w:rPr>
        <w:t>L’homogénéité</w:t>
      </w:r>
      <w:r w:rsidR="00AE797B">
        <w:t> : chaque lot doit avoir la même origine, la même variété, la même qualité et le même calibre ;</w:t>
      </w:r>
    </w:p>
    <w:p w:rsidR="00AE797B" w:rsidRDefault="00C21E65" w:rsidP="00C21E65">
      <w:pPr>
        <w:ind w:hanging="11"/>
      </w:pPr>
      <w:r>
        <w:t xml:space="preserve">- </w:t>
      </w:r>
      <w:r w:rsidR="00AE797B">
        <w:rPr>
          <w:b/>
          <w:bCs/>
        </w:rPr>
        <w:t>Marquage</w:t>
      </w:r>
      <w:r w:rsidR="00AE797B">
        <w:t xml:space="preserve"> des colis : identification, nature et origine du produit, ainsi que ses caractéristiques commerciales ;</w:t>
      </w:r>
    </w:p>
    <w:p w:rsidR="00AE797B" w:rsidRDefault="00C21E65" w:rsidP="00C21E65">
      <w:r>
        <w:rPr>
          <w:b/>
          <w:bCs/>
        </w:rPr>
        <w:t xml:space="preserve">- Le </w:t>
      </w:r>
      <w:r w:rsidR="00AE797B">
        <w:rPr>
          <w:b/>
          <w:bCs/>
        </w:rPr>
        <w:t>conditionnement</w:t>
      </w:r>
      <w:r w:rsidR="00AE797B">
        <w:t> doit assurer une protection convenable du produit.</w:t>
      </w:r>
    </w:p>
    <w:p w:rsidR="00AE797B" w:rsidRPr="00D8657A" w:rsidRDefault="00AE797B" w:rsidP="00834C6A"/>
    <w:p w:rsidR="00AE797B" w:rsidRPr="00D8657A" w:rsidRDefault="000246DB" w:rsidP="00D8657A">
      <w:pPr>
        <w:ind w:left="709"/>
        <w:jc w:val="both"/>
        <w:rPr>
          <w:b/>
          <w:bCs/>
          <w:color w:val="365F91" w:themeColor="accent1" w:themeShade="BF"/>
          <w:u w:val="single"/>
        </w:rPr>
      </w:pPr>
      <w:r w:rsidRPr="00D8657A">
        <w:rPr>
          <w:b/>
          <w:bCs/>
          <w:color w:val="365F91" w:themeColor="accent1" w:themeShade="BF"/>
        </w:rPr>
        <w:t>2.2</w:t>
      </w:r>
      <w:r w:rsidRPr="00D8657A">
        <w:rPr>
          <w:b/>
          <w:bCs/>
          <w:color w:val="365F91" w:themeColor="accent1" w:themeShade="BF"/>
          <w:u w:val="single"/>
        </w:rPr>
        <w:t xml:space="preserve"> </w:t>
      </w:r>
      <w:proofErr w:type="spellStart"/>
      <w:r w:rsidRPr="00D8657A">
        <w:rPr>
          <w:b/>
          <w:bCs/>
          <w:color w:val="365F91" w:themeColor="accent1" w:themeShade="BF"/>
          <w:u w:val="single"/>
        </w:rPr>
        <w:t>Qualibrage</w:t>
      </w:r>
      <w:proofErr w:type="spellEnd"/>
      <w:r w:rsidRPr="00D8657A">
        <w:rPr>
          <w:b/>
          <w:bCs/>
          <w:color w:val="365F91" w:themeColor="accent1" w:themeShade="BF"/>
          <w:u w:val="single"/>
        </w:rPr>
        <w:t xml:space="preserve"> </w:t>
      </w:r>
    </w:p>
    <w:p w:rsidR="00834C6A" w:rsidRDefault="00834C6A">
      <w:pPr>
        <w:pStyle w:val="Corpsdetexte"/>
        <w:jc w:val="both"/>
      </w:pPr>
    </w:p>
    <w:p w:rsidR="00AE797B" w:rsidRDefault="00AE797B" w:rsidP="00834C6A">
      <w:pPr>
        <w:pStyle w:val="Corpsdetexte"/>
        <w:jc w:val="both"/>
      </w:pPr>
      <w:r>
        <w:t>Tous les fruits et légumes normalisés doivent être conformes à la norme européenne dans la catégorie I et le calibre demandé.</w:t>
      </w:r>
    </w:p>
    <w:tbl>
      <w:tblPr>
        <w:tblW w:w="9924"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063"/>
        <w:gridCol w:w="993"/>
        <w:gridCol w:w="2976"/>
        <w:gridCol w:w="3892"/>
      </w:tblGrid>
      <w:tr w:rsidR="00AE797B" w:rsidTr="00834C6A">
        <w:tc>
          <w:tcPr>
            <w:tcW w:w="2063" w:type="dxa"/>
          </w:tcPr>
          <w:p w:rsidR="00AE797B" w:rsidRDefault="00AE797B" w:rsidP="00834C6A">
            <w:pPr>
              <w:jc w:val="center"/>
              <w:rPr>
                <w:b/>
                <w:bCs/>
              </w:rPr>
            </w:pPr>
            <w:r>
              <w:rPr>
                <w:b/>
                <w:bCs/>
              </w:rPr>
              <w:t>Espèces</w:t>
            </w:r>
          </w:p>
        </w:tc>
        <w:tc>
          <w:tcPr>
            <w:tcW w:w="993" w:type="dxa"/>
          </w:tcPr>
          <w:p w:rsidR="00AE797B" w:rsidRDefault="00AE797B" w:rsidP="00834C6A">
            <w:pPr>
              <w:jc w:val="center"/>
              <w:rPr>
                <w:b/>
                <w:bCs/>
              </w:rPr>
            </w:pPr>
            <w:r>
              <w:rPr>
                <w:b/>
                <w:bCs/>
              </w:rPr>
              <w:t>Teneur en jus mini</w:t>
            </w:r>
          </w:p>
        </w:tc>
        <w:tc>
          <w:tcPr>
            <w:tcW w:w="2976" w:type="dxa"/>
          </w:tcPr>
          <w:p w:rsidR="00AE797B" w:rsidRDefault="00AE797B" w:rsidP="00834C6A">
            <w:pPr>
              <w:ind w:left="20"/>
              <w:jc w:val="center"/>
              <w:rPr>
                <w:b/>
                <w:bCs/>
              </w:rPr>
            </w:pPr>
            <w:r>
              <w:rPr>
                <w:b/>
                <w:bCs/>
              </w:rPr>
              <w:t>Calibre (diamètre)</w:t>
            </w:r>
          </w:p>
        </w:tc>
        <w:tc>
          <w:tcPr>
            <w:tcW w:w="3892" w:type="dxa"/>
          </w:tcPr>
          <w:p w:rsidR="00AE797B" w:rsidRDefault="00AE797B" w:rsidP="00834C6A">
            <w:pPr>
              <w:ind w:left="20"/>
              <w:jc w:val="center"/>
              <w:rPr>
                <w:b/>
                <w:bCs/>
              </w:rPr>
            </w:pPr>
            <w:r>
              <w:rPr>
                <w:b/>
                <w:bCs/>
              </w:rPr>
              <w:t>Qualité et coloration</w:t>
            </w:r>
          </w:p>
        </w:tc>
      </w:tr>
      <w:tr w:rsidR="00AE797B" w:rsidTr="00834C6A">
        <w:trPr>
          <w:trHeight w:val="1124"/>
        </w:trPr>
        <w:tc>
          <w:tcPr>
            <w:tcW w:w="2063" w:type="dxa"/>
          </w:tcPr>
          <w:p w:rsidR="00AE797B" w:rsidRDefault="00AE797B">
            <w:pPr>
              <w:jc w:val="both"/>
            </w:pPr>
            <w:r>
              <w:t>anan</w:t>
            </w:r>
            <w:r w:rsidR="006E0984">
              <w:t>a</w:t>
            </w:r>
            <w:r>
              <w:t>s</w:t>
            </w:r>
          </w:p>
          <w:p w:rsidR="00AE797B" w:rsidRDefault="00AE797B">
            <w:pPr>
              <w:jc w:val="both"/>
            </w:pPr>
          </w:p>
          <w:p w:rsidR="00AE797B" w:rsidRDefault="00AE797B">
            <w:pPr>
              <w:jc w:val="both"/>
            </w:pPr>
          </w:p>
          <w:p w:rsidR="00AE797B" w:rsidRDefault="00AE797B">
            <w:pPr>
              <w:jc w:val="both"/>
            </w:pPr>
            <w:r>
              <w:t>Citron</w:t>
            </w:r>
          </w:p>
          <w:p w:rsidR="00AE797B" w:rsidRDefault="00AE797B">
            <w:pPr>
              <w:jc w:val="both"/>
            </w:pPr>
            <w:r>
              <w:t>Clémentine</w:t>
            </w:r>
          </w:p>
          <w:p w:rsidR="00AE797B" w:rsidRDefault="00AE797B">
            <w:pPr>
              <w:jc w:val="both"/>
            </w:pPr>
            <w:r>
              <w:t>Orange navel</w:t>
            </w:r>
          </w:p>
          <w:p w:rsidR="00AE797B" w:rsidRDefault="00AE797B">
            <w:pPr>
              <w:jc w:val="both"/>
            </w:pPr>
            <w:r>
              <w:t>Pomelos rose</w:t>
            </w:r>
          </w:p>
          <w:p w:rsidR="00AE797B" w:rsidRDefault="00AE797B">
            <w:pPr>
              <w:jc w:val="both"/>
            </w:pPr>
          </w:p>
          <w:p w:rsidR="00AE797B" w:rsidRDefault="00AE797B">
            <w:pPr>
              <w:jc w:val="both"/>
            </w:pPr>
            <w:r>
              <w:t>Pommes golden</w:t>
            </w:r>
          </w:p>
          <w:p w:rsidR="00AE797B" w:rsidRDefault="00AE797B">
            <w:pPr>
              <w:jc w:val="both"/>
            </w:pPr>
            <w:r>
              <w:t>Pommes bicolores</w:t>
            </w:r>
          </w:p>
          <w:p w:rsidR="00AE797B" w:rsidRDefault="00AE797B">
            <w:pPr>
              <w:jc w:val="both"/>
            </w:pPr>
            <w:r>
              <w:t>Poires 2 catégories</w:t>
            </w:r>
          </w:p>
          <w:p w:rsidR="00AE797B" w:rsidRDefault="00AE797B">
            <w:pPr>
              <w:jc w:val="both"/>
            </w:pPr>
          </w:p>
          <w:p w:rsidR="00AE797B" w:rsidRDefault="00AE797B">
            <w:pPr>
              <w:jc w:val="both"/>
            </w:pPr>
            <w:r>
              <w:t>Tomates rondes</w:t>
            </w:r>
          </w:p>
          <w:p w:rsidR="00AE797B" w:rsidRDefault="00AE797B">
            <w:pPr>
              <w:jc w:val="both"/>
            </w:pPr>
          </w:p>
          <w:p w:rsidR="00AE797B" w:rsidRDefault="00AE797B">
            <w:pPr>
              <w:jc w:val="both"/>
              <w:rPr>
                <w:b/>
                <w:bCs/>
              </w:rPr>
            </w:pPr>
            <w:r>
              <w:rPr>
                <w:b/>
                <w:bCs/>
              </w:rPr>
              <w:t>5</w:t>
            </w:r>
            <w:r>
              <w:rPr>
                <w:b/>
                <w:bCs/>
                <w:vertAlign w:val="superscript"/>
              </w:rPr>
              <w:t>ème</w:t>
            </w:r>
            <w:r>
              <w:rPr>
                <w:b/>
                <w:bCs/>
              </w:rPr>
              <w:t xml:space="preserve"> gamme</w:t>
            </w:r>
          </w:p>
          <w:p w:rsidR="00AE797B" w:rsidRDefault="00AE797B">
            <w:pPr>
              <w:jc w:val="both"/>
            </w:pPr>
            <w:r>
              <w:t>salade</w:t>
            </w:r>
          </w:p>
          <w:p w:rsidR="00AE797B" w:rsidRDefault="00AE797B">
            <w:pPr>
              <w:jc w:val="both"/>
            </w:pPr>
          </w:p>
          <w:p w:rsidR="00AE797B" w:rsidRDefault="00AE797B">
            <w:pPr>
              <w:jc w:val="both"/>
            </w:pPr>
          </w:p>
          <w:p w:rsidR="00AE797B" w:rsidRDefault="00834C6A">
            <w:pPr>
              <w:jc w:val="both"/>
            </w:pPr>
            <w:r>
              <w:t>ail pelé</w:t>
            </w:r>
          </w:p>
          <w:p w:rsidR="00AE797B" w:rsidRDefault="00AE797B">
            <w:pPr>
              <w:jc w:val="both"/>
            </w:pPr>
          </w:p>
          <w:p w:rsidR="00AE797B" w:rsidRDefault="00AE797B">
            <w:pPr>
              <w:jc w:val="both"/>
              <w:rPr>
                <w:b/>
                <w:bCs/>
              </w:rPr>
            </w:pPr>
          </w:p>
          <w:p w:rsidR="00AE797B" w:rsidRDefault="00AE797B">
            <w:pPr>
              <w:jc w:val="both"/>
              <w:rPr>
                <w:b/>
                <w:bCs/>
              </w:rPr>
            </w:pPr>
          </w:p>
          <w:p w:rsidR="00AE797B" w:rsidRDefault="00AE797B">
            <w:pPr>
              <w:jc w:val="both"/>
            </w:pPr>
            <w:r>
              <w:t>Pommes de terre</w:t>
            </w:r>
            <w:r w:rsidR="00834C6A">
              <w:t xml:space="preserve"> ronde</w:t>
            </w:r>
          </w:p>
          <w:p w:rsidR="00AE797B" w:rsidRDefault="00AE797B">
            <w:pPr>
              <w:jc w:val="both"/>
            </w:pPr>
          </w:p>
          <w:p w:rsidR="00AE797B" w:rsidRDefault="00AE797B">
            <w:pPr>
              <w:jc w:val="both"/>
            </w:pPr>
          </w:p>
          <w:p w:rsidR="00AE797B" w:rsidRDefault="00AE797B">
            <w:pPr>
              <w:jc w:val="both"/>
            </w:pPr>
            <w:r>
              <w:t>Pommes de terre en</w:t>
            </w:r>
          </w:p>
          <w:p w:rsidR="00AE797B" w:rsidRDefault="00AE797B">
            <w:pPr>
              <w:jc w:val="both"/>
            </w:pPr>
            <w:r>
              <w:t>Tranches ou en cubes</w:t>
            </w:r>
          </w:p>
        </w:tc>
        <w:tc>
          <w:tcPr>
            <w:tcW w:w="993" w:type="dxa"/>
          </w:tcPr>
          <w:p w:rsidR="00AE797B" w:rsidRDefault="00AE797B">
            <w:pPr>
              <w:rPr>
                <w:b/>
                <w:bCs/>
              </w:rPr>
            </w:pPr>
          </w:p>
          <w:p w:rsidR="00AE797B" w:rsidRDefault="00AE797B">
            <w:pPr>
              <w:rPr>
                <w:b/>
                <w:bCs/>
              </w:rPr>
            </w:pPr>
          </w:p>
          <w:p w:rsidR="00AE797B" w:rsidRDefault="00AE797B">
            <w:pPr>
              <w:rPr>
                <w:b/>
                <w:bCs/>
              </w:rPr>
            </w:pPr>
          </w:p>
          <w:p w:rsidR="00AE797B" w:rsidRDefault="00AE797B" w:rsidP="00834C6A">
            <w:pPr>
              <w:ind w:left="310" w:hanging="39"/>
              <w:jc w:val="both"/>
            </w:pPr>
            <w:r>
              <w:t>25 %</w:t>
            </w:r>
          </w:p>
          <w:p w:rsidR="00AE797B" w:rsidRDefault="00AE797B" w:rsidP="00834C6A">
            <w:pPr>
              <w:ind w:left="310" w:hanging="39"/>
              <w:jc w:val="both"/>
            </w:pPr>
            <w:r>
              <w:t>40 %</w:t>
            </w:r>
          </w:p>
          <w:p w:rsidR="00AE797B" w:rsidRDefault="00AE797B" w:rsidP="00834C6A">
            <w:pPr>
              <w:ind w:left="310" w:hanging="39"/>
              <w:jc w:val="both"/>
            </w:pPr>
            <w:r>
              <w:t>30 %</w:t>
            </w:r>
          </w:p>
          <w:p w:rsidR="00AE797B" w:rsidRDefault="00AE797B" w:rsidP="00834C6A">
            <w:pPr>
              <w:ind w:left="310" w:hanging="39"/>
              <w:jc w:val="both"/>
            </w:pPr>
            <w:r>
              <w:t>40 %</w:t>
            </w:r>
          </w:p>
          <w:p w:rsidR="00AE797B" w:rsidRDefault="00AE797B">
            <w:pPr>
              <w:rPr>
                <w:b/>
                <w:bCs/>
              </w:rPr>
            </w:pPr>
          </w:p>
          <w:p w:rsidR="00AE797B" w:rsidRDefault="00AE797B">
            <w:pPr>
              <w:rPr>
                <w:b/>
                <w:bCs/>
              </w:rPr>
            </w:pPr>
          </w:p>
          <w:p w:rsidR="00AE797B" w:rsidRDefault="00AE797B">
            <w:pPr>
              <w:rPr>
                <w:b/>
                <w:bCs/>
              </w:rPr>
            </w:pPr>
          </w:p>
          <w:p w:rsidR="00AE797B" w:rsidRDefault="00AE797B">
            <w:pPr>
              <w:rPr>
                <w:b/>
                <w:bCs/>
              </w:rPr>
            </w:pPr>
          </w:p>
          <w:p w:rsidR="00AE797B" w:rsidRDefault="00AE797B">
            <w:pPr>
              <w:rPr>
                <w:b/>
                <w:bCs/>
              </w:rPr>
            </w:pPr>
          </w:p>
          <w:p w:rsidR="00AE797B" w:rsidRDefault="00AE797B">
            <w:pPr>
              <w:rPr>
                <w:b/>
                <w:bCs/>
              </w:rPr>
            </w:pPr>
          </w:p>
          <w:p w:rsidR="00AE797B" w:rsidRDefault="00AE797B">
            <w:pPr>
              <w:rPr>
                <w:b/>
                <w:bCs/>
              </w:rPr>
            </w:pPr>
          </w:p>
          <w:p w:rsidR="00AE797B" w:rsidRDefault="00AE797B">
            <w:pPr>
              <w:jc w:val="both"/>
              <w:rPr>
                <w:b/>
                <w:bCs/>
              </w:rPr>
            </w:pPr>
          </w:p>
        </w:tc>
        <w:tc>
          <w:tcPr>
            <w:tcW w:w="2976" w:type="dxa"/>
          </w:tcPr>
          <w:p w:rsidR="00AE797B" w:rsidRDefault="00834C6A">
            <w:pPr>
              <w:ind w:left="140"/>
              <w:jc w:val="both"/>
            </w:pPr>
            <w:r>
              <w:t>L</w:t>
            </w:r>
            <w:r w:rsidR="00AE797B">
              <w:t xml:space="preserve">ong    : 16 à </w:t>
            </w:r>
            <w:smartTag w:uri="urn:schemas-microsoft-com:office:smarttags" w:element="metricconverter">
              <w:smartTagPr>
                <w:attr w:name="ProductID" w:val="18 cm"/>
              </w:smartTagPr>
              <w:r w:rsidR="00AE797B">
                <w:t>18 cm</w:t>
              </w:r>
            </w:smartTag>
          </w:p>
          <w:p w:rsidR="00AE797B" w:rsidRDefault="00AE797B">
            <w:pPr>
              <w:ind w:left="155"/>
              <w:jc w:val="both"/>
            </w:pPr>
            <w:r>
              <w:t xml:space="preserve">Grade : 27 à </w:t>
            </w:r>
            <w:smartTag w:uri="urn:schemas-microsoft-com:office:smarttags" w:element="metricconverter">
              <w:smartTagPr>
                <w:attr w:name="ProductID" w:val="29 mm"/>
              </w:smartTagPr>
              <w:r>
                <w:t>29 mm</w:t>
              </w:r>
            </w:smartTag>
          </w:p>
          <w:p w:rsidR="00AE797B" w:rsidRDefault="00AE797B">
            <w:pPr>
              <w:rPr>
                <w:b/>
                <w:bCs/>
              </w:rPr>
            </w:pPr>
          </w:p>
          <w:p w:rsidR="00AE797B" w:rsidRDefault="00AE797B">
            <w:pPr>
              <w:ind w:left="200"/>
              <w:jc w:val="both"/>
            </w:pPr>
            <w:r>
              <w:t>4            40  mm</w:t>
            </w:r>
          </w:p>
          <w:p w:rsidR="00AE797B" w:rsidRDefault="00AE797B">
            <w:pPr>
              <w:jc w:val="both"/>
            </w:pPr>
            <w:r>
              <w:t xml:space="preserve">   6            43 à </w:t>
            </w:r>
            <w:smartTag w:uri="urn:schemas-microsoft-com:office:smarttags" w:element="metricconverter">
              <w:smartTagPr>
                <w:attr w:name="ProductID" w:val="52 mm"/>
              </w:smartTagPr>
              <w:r>
                <w:t>52 mm</w:t>
              </w:r>
            </w:smartTag>
          </w:p>
          <w:p w:rsidR="00AE797B" w:rsidRDefault="00AE797B">
            <w:pPr>
              <w:jc w:val="both"/>
            </w:pPr>
            <w:r>
              <w:t xml:space="preserve">   9            62 à </w:t>
            </w:r>
            <w:smartTag w:uri="urn:schemas-microsoft-com:office:smarttags" w:element="metricconverter">
              <w:smartTagPr>
                <w:attr w:name="ProductID" w:val="70 mm"/>
              </w:smartTagPr>
              <w:r>
                <w:t>70 mm</w:t>
              </w:r>
            </w:smartTag>
          </w:p>
          <w:p w:rsidR="00AE797B" w:rsidRDefault="00AE797B">
            <w:pPr>
              <w:jc w:val="both"/>
            </w:pPr>
            <w:r>
              <w:t xml:space="preserve">                 88 à102mm</w:t>
            </w:r>
          </w:p>
          <w:p w:rsidR="00AE797B" w:rsidRDefault="00AE797B">
            <w:pPr>
              <w:rPr>
                <w:b/>
                <w:bCs/>
              </w:rPr>
            </w:pPr>
          </w:p>
          <w:p w:rsidR="00AE797B" w:rsidRDefault="00AE797B">
            <w:pPr>
              <w:ind w:left="995"/>
              <w:jc w:val="both"/>
            </w:pPr>
            <w:smartTag w:uri="urn:schemas-microsoft-com:office:smarttags" w:element="metricconverter">
              <w:smartTagPr>
                <w:attr w:name="ProductID" w:val="70 mm"/>
              </w:smartTagPr>
              <w:r>
                <w:t>70 mm</w:t>
              </w:r>
            </w:smartTag>
          </w:p>
          <w:p w:rsidR="00AE797B" w:rsidRDefault="00AE797B">
            <w:pPr>
              <w:jc w:val="both"/>
            </w:pPr>
            <w:r>
              <w:t xml:space="preserve">                </w:t>
            </w:r>
            <w:smartTag w:uri="urn:schemas-microsoft-com:office:smarttags" w:element="metricconverter">
              <w:smartTagPr>
                <w:attr w:name="ProductID" w:val="70 mm"/>
              </w:smartTagPr>
              <w:r>
                <w:t>70 mm</w:t>
              </w:r>
            </w:smartTag>
          </w:p>
          <w:p w:rsidR="00AE797B" w:rsidRDefault="00AE797B">
            <w:pPr>
              <w:jc w:val="both"/>
            </w:pPr>
            <w:r>
              <w:t xml:space="preserve">                </w:t>
            </w:r>
            <w:smartTag w:uri="urn:schemas-microsoft-com:office:smarttags" w:element="metricconverter">
              <w:smartTagPr>
                <w:attr w:name="ProductID" w:val="70 mm"/>
              </w:smartTagPr>
              <w:r>
                <w:t>70 mm</w:t>
              </w:r>
            </w:smartTag>
          </w:p>
          <w:p w:rsidR="00AE797B" w:rsidRDefault="00AE797B">
            <w:pPr>
              <w:rPr>
                <w:b/>
                <w:bCs/>
              </w:rPr>
            </w:pPr>
          </w:p>
          <w:p w:rsidR="00AE797B" w:rsidRDefault="00AE797B">
            <w:pPr>
              <w:jc w:val="both"/>
            </w:pPr>
            <w:r>
              <w:t xml:space="preserve">                67 à </w:t>
            </w:r>
            <w:smartTag w:uri="urn:schemas-microsoft-com:office:smarttags" w:element="metricconverter">
              <w:smartTagPr>
                <w:attr w:name="ProductID" w:val="82 mm"/>
              </w:smartTagPr>
              <w:r>
                <w:t>82 mm</w:t>
              </w:r>
            </w:smartTag>
          </w:p>
          <w:p w:rsidR="00AE797B" w:rsidRDefault="00AE797B">
            <w:pPr>
              <w:jc w:val="both"/>
            </w:pPr>
            <w:r>
              <w:t xml:space="preserve">    Calibre régulier</w:t>
            </w:r>
          </w:p>
          <w:p w:rsidR="00AE797B" w:rsidRDefault="00AE797B">
            <w:pPr>
              <w:jc w:val="both"/>
              <w:rPr>
                <w:b/>
                <w:bCs/>
              </w:rPr>
            </w:pPr>
          </w:p>
          <w:p w:rsidR="00AE797B" w:rsidRDefault="00AE797B">
            <w:pPr>
              <w:jc w:val="both"/>
              <w:rPr>
                <w:b/>
                <w:bCs/>
              </w:rPr>
            </w:pPr>
          </w:p>
          <w:p w:rsidR="00AE797B" w:rsidRDefault="00AE797B">
            <w:pPr>
              <w:jc w:val="both"/>
              <w:rPr>
                <w:b/>
                <w:bCs/>
              </w:rPr>
            </w:pPr>
          </w:p>
          <w:p w:rsidR="00AE797B" w:rsidRDefault="00AE797B">
            <w:pPr>
              <w:jc w:val="both"/>
              <w:rPr>
                <w:b/>
                <w:bCs/>
              </w:rPr>
            </w:pPr>
          </w:p>
          <w:p w:rsidR="00AE797B" w:rsidRDefault="00AE797B">
            <w:pPr>
              <w:jc w:val="both"/>
              <w:rPr>
                <w:b/>
                <w:bCs/>
              </w:rPr>
            </w:pPr>
          </w:p>
          <w:p w:rsidR="00AE797B" w:rsidRDefault="00AE797B">
            <w:pPr>
              <w:jc w:val="both"/>
              <w:rPr>
                <w:b/>
                <w:bCs/>
              </w:rPr>
            </w:pPr>
          </w:p>
          <w:p w:rsidR="00AE797B" w:rsidRDefault="00AE797B">
            <w:pPr>
              <w:jc w:val="both"/>
              <w:rPr>
                <w:b/>
                <w:bCs/>
              </w:rPr>
            </w:pPr>
          </w:p>
          <w:p w:rsidR="00AE797B" w:rsidRDefault="00AE797B">
            <w:pPr>
              <w:jc w:val="both"/>
              <w:rPr>
                <w:b/>
                <w:bCs/>
              </w:rPr>
            </w:pPr>
          </w:p>
          <w:p w:rsidR="00AE797B" w:rsidRDefault="00AE797B">
            <w:pPr>
              <w:jc w:val="both"/>
            </w:pPr>
            <w:r>
              <w:t xml:space="preserve">           15 à </w:t>
            </w:r>
            <w:smartTag w:uri="urn:schemas-microsoft-com:office:smarttags" w:element="metricconverter">
              <w:smartTagPr>
                <w:attr w:name="ProductID" w:val="30 mm"/>
              </w:smartTagPr>
              <w:r>
                <w:t>30 mm</w:t>
              </w:r>
            </w:smartTag>
          </w:p>
          <w:p w:rsidR="00AE797B" w:rsidRDefault="00AE797B">
            <w:pPr>
              <w:jc w:val="both"/>
              <w:rPr>
                <w:b/>
                <w:bCs/>
              </w:rPr>
            </w:pPr>
          </w:p>
        </w:tc>
        <w:tc>
          <w:tcPr>
            <w:tcW w:w="3892" w:type="dxa"/>
          </w:tcPr>
          <w:p w:rsidR="00AE797B" w:rsidRDefault="00AE797B">
            <w:pPr>
              <w:rPr>
                <w:b/>
                <w:bCs/>
              </w:rPr>
            </w:pPr>
          </w:p>
          <w:p w:rsidR="00AE797B" w:rsidRDefault="00AE797B">
            <w:pPr>
              <w:rPr>
                <w:b/>
                <w:bCs/>
              </w:rPr>
            </w:pPr>
          </w:p>
          <w:p w:rsidR="00AE797B" w:rsidRDefault="00AE797B">
            <w:pPr>
              <w:rPr>
                <w:b/>
                <w:bCs/>
              </w:rPr>
            </w:pPr>
          </w:p>
          <w:p w:rsidR="00AE797B" w:rsidRDefault="00AE797B">
            <w:pPr>
              <w:jc w:val="both"/>
            </w:pPr>
            <w:r>
              <w:t>peau peu épaisse</w:t>
            </w:r>
          </w:p>
          <w:p w:rsidR="00AE797B" w:rsidRDefault="00AE797B">
            <w:pPr>
              <w:jc w:val="both"/>
            </w:pPr>
            <w:r>
              <w:t>peau fine, sans pépins</w:t>
            </w:r>
          </w:p>
          <w:p w:rsidR="00AE797B" w:rsidRDefault="00AE797B">
            <w:pPr>
              <w:rPr>
                <w:b/>
                <w:bCs/>
              </w:rPr>
            </w:pPr>
          </w:p>
          <w:p w:rsidR="00AE797B" w:rsidRDefault="00AE797B">
            <w:pPr>
              <w:jc w:val="both"/>
            </w:pPr>
            <w:r>
              <w:t>chair rose</w:t>
            </w:r>
          </w:p>
          <w:p w:rsidR="00AE797B" w:rsidRDefault="00AE797B">
            <w:pPr>
              <w:rPr>
                <w:b/>
                <w:bCs/>
              </w:rPr>
            </w:pPr>
          </w:p>
          <w:p w:rsidR="00AE797B" w:rsidRDefault="00AE797B">
            <w:pPr>
              <w:rPr>
                <w:b/>
                <w:bCs/>
              </w:rPr>
            </w:pPr>
          </w:p>
          <w:p w:rsidR="00AE797B" w:rsidRDefault="00AE797B">
            <w:pPr>
              <w:jc w:val="both"/>
            </w:pPr>
            <w:r>
              <w:t>chair parfumée</w:t>
            </w:r>
          </w:p>
          <w:p w:rsidR="00AE797B" w:rsidRDefault="00AE797B">
            <w:pPr>
              <w:rPr>
                <w:b/>
                <w:bCs/>
              </w:rPr>
            </w:pPr>
          </w:p>
          <w:p w:rsidR="00834C6A" w:rsidRDefault="00834C6A">
            <w:pPr>
              <w:rPr>
                <w:b/>
                <w:bCs/>
              </w:rPr>
            </w:pPr>
          </w:p>
          <w:p w:rsidR="00AE797B" w:rsidRDefault="00AE797B" w:rsidP="00834C6A">
            <w:pPr>
              <w:ind w:left="20"/>
              <w:jc w:val="both"/>
            </w:pPr>
            <w:r>
              <w:t>coloration : 9 à 12</w:t>
            </w:r>
            <w:r w:rsidR="00834C6A">
              <w:t xml:space="preserve"> </w:t>
            </w:r>
            <w:proofErr w:type="gramStart"/>
            <w:r>
              <w:t>chair</w:t>
            </w:r>
            <w:proofErr w:type="gramEnd"/>
            <w:r>
              <w:t xml:space="preserve"> ferme</w:t>
            </w:r>
          </w:p>
          <w:p w:rsidR="00AE797B" w:rsidRDefault="00AE797B">
            <w:pPr>
              <w:jc w:val="both"/>
              <w:rPr>
                <w:b/>
                <w:bCs/>
              </w:rPr>
            </w:pPr>
          </w:p>
          <w:p w:rsidR="00AE797B" w:rsidRDefault="00AE797B">
            <w:pPr>
              <w:jc w:val="both"/>
              <w:rPr>
                <w:b/>
                <w:bCs/>
              </w:rPr>
            </w:pPr>
          </w:p>
          <w:p w:rsidR="00AE797B" w:rsidRDefault="00AE797B">
            <w:pPr>
              <w:jc w:val="both"/>
            </w:pPr>
            <w:r>
              <w:t>texture croquante,</w:t>
            </w:r>
            <w:r w:rsidR="00834C6A">
              <w:t xml:space="preserve"> </w:t>
            </w:r>
            <w:r>
              <w:t>absence de moisissure et de corps étrangers</w:t>
            </w:r>
          </w:p>
          <w:p w:rsidR="00AE797B" w:rsidRDefault="00AE797B">
            <w:pPr>
              <w:jc w:val="both"/>
            </w:pPr>
          </w:p>
          <w:p w:rsidR="00AE797B" w:rsidRDefault="00AE797B">
            <w:pPr>
              <w:jc w:val="both"/>
            </w:pPr>
            <w:r>
              <w:t>gousses d’ail entières</w:t>
            </w:r>
          </w:p>
          <w:p w:rsidR="00AE797B" w:rsidRDefault="00AE797B">
            <w:pPr>
              <w:jc w:val="both"/>
            </w:pPr>
            <w:r>
              <w:t>épluchée et calibrée, aspect lisse et sans tâches translucides,</w:t>
            </w:r>
            <w:r w:rsidR="00834C6A">
              <w:t xml:space="preserve"> </w:t>
            </w:r>
            <w:r>
              <w:t>texture ferme.</w:t>
            </w:r>
          </w:p>
          <w:p w:rsidR="00AE797B" w:rsidRDefault="00AE797B">
            <w:pPr>
              <w:jc w:val="both"/>
            </w:pPr>
          </w:p>
          <w:p w:rsidR="00AE797B" w:rsidRDefault="00AE797B">
            <w:pPr>
              <w:jc w:val="both"/>
            </w:pPr>
            <w:r>
              <w:t>Entières, épluchées et calibrées, aspect lisse et absence de tâches,</w:t>
            </w:r>
          </w:p>
          <w:p w:rsidR="00AE797B" w:rsidRDefault="00AE797B">
            <w:pPr>
              <w:jc w:val="both"/>
            </w:pPr>
            <w:r>
              <w:t>Texture ferme.</w:t>
            </w:r>
          </w:p>
          <w:p w:rsidR="00834C6A" w:rsidRDefault="00834C6A">
            <w:pPr>
              <w:jc w:val="both"/>
            </w:pPr>
          </w:p>
          <w:p w:rsidR="00AE797B" w:rsidRDefault="00AE797B" w:rsidP="00834C6A">
            <w:r>
              <w:t xml:space="preserve">Pommes de terre </w:t>
            </w:r>
            <w:r w:rsidR="00EE56C3">
              <w:t>é</w:t>
            </w:r>
            <w:r>
              <w:t>pluchée et calibrées,</w:t>
            </w:r>
            <w:r w:rsidR="00834C6A">
              <w:t xml:space="preserve"> d’a</w:t>
            </w:r>
            <w:r>
              <w:t>spect lisse et absen</w:t>
            </w:r>
            <w:r w:rsidR="00EE56C3">
              <w:t>c</w:t>
            </w:r>
            <w:r>
              <w:t>e de tâches, texture</w:t>
            </w:r>
            <w:r w:rsidR="00EE56C3">
              <w:t xml:space="preserve"> f</w:t>
            </w:r>
            <w:r>
              <w:t>erme.</w:t>
            </w:r>
          </w:p>
        </w:tc>
      </w:tr>
    </w:tbl>
    <w:p w:rsidR="00AE797B" w:rsidRDefault="00AE797B">
      <w:pPr>
        <w:jc w:val="both"/>
        <w:rPr>
          <w:b/>
          <w:bCs/>
        </w:rPr>
      </w:pPr>
    </w:p>
    <w:p w:rsidR="00AE797B" w:rsidRDefault="00B449AA">
      <w:pPr>
        <w:jc w:val="both"/>
      </w:pPr>
      <w:r>
        <w:t xml:space="preserve">    </w:t>
      </w:r>
    </w:p>
    <w:sectPr w:rsidR="00AE797B" w:rsidSect="008419B2">
      <w:headerReference w:type="even" r:id="rId14"/>
      <w:headerReference w:type="default" r:id="rId15"/>
      <w:footerReference w:type="even" r:id="rId16"/>
      <w:footerReference w:type="default" r:id="rId17"/>
      <w:headerReference w:type="first" r:id="rId18"/>
      <w:footerReference w:type="first" r:id="rId19"/>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064B" w:rsidRDefault="003E064B" w:rsidP="000B0FC9">
      <w:r>
        <w:separator/>
      </w:r>
    </w:p>
  </w:endnote>
  <w:endnote w:type="continuationSeparator" w:id="0">
    <w:p w:rsidR="003E064B" w:rsidRDefault="003E064B" w:rsidP="000B0FC9">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64B" w:rsidRDefault="003E064B">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10396"/>
      <w:gridCol w:w="286"/>
    </w:tblGrid>
    <w:tr w:rsidR="003E064B" w:rsidTr="000B0FC9">
      <w:tc>
        <w:tcPr>
          <w:tcW w:w="9039" w:type="dxa"/>
        </w:tcPr>
        <w:p w:rsidR="003E064B" w:rsidRDefault="003E064B" w:rsidP="000B0FC9">
          <w:pPr>
            <w:pStyle w:val="Pieddepage"/>
            <w:tabs>
              <w:tab w:val="clear" w:pos="4536"/>
              <w:tab w:val="center" w:pos="0"/>
            </w:tabs>
            <w:rPr>
              <w:b/>
              <w:color w:val="4F81BD" w:themeColor="accent1"/>
              <w:sz w:val="32"/>
              <w:szCs w:val="32"/>
            </w:rPr>
          </w:pPr>
          <w:r>
            <w:t xml:space="preserve">CCTP FRUITS ET LEGUMES                                                                                            </w:t>
          </w:r>
          <w:fldSimple w:instr=" PAGE   \* MERGEFORMAT ">
            <w:r w:rsidR="0077311C" w:rsidRPr="0077311C">
              <w:rPr>
                <w:b/>
                <w:noProof/>
                <w:color w:val="4F81BD" w:themeColor="accent1"/>
                <w:sz w:val="32"/>
                <w:szCs w:val="32"/>
              </w:rPr>
              <w:t>1</w:t>
            </w:r>
          </w:fldSimple>
        </w:p>
      </w:tc>
      <w:tc>
        <w:tcPr>
          <w:tcW w:w="249" w:type="dxa"/>
        </w:tcPr>
        <w:p w:rsidR="003E064B" w:rsidRDefault="003E064B">
          <w:pPr>
            <w:pStyle w:val="Pieddepage"/>
          </w:pPr>
        </w:p>
      </w:tc>
    </w:tr>
  </w:tbl>
  <w:p w:rsidR="003E064B" w:rsidRDefault="003E064B">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64B" w:rsidRDefault="003E064B">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064B" w:rsidRDefault="003E064B" w:rsidP="000B0FC9">
      <w:r>
        <w:separator/>
      </w:r>
    </w:p>
  </w:footnote>
  <w:footnote w:type="continuationSeparator" w:id="0">
    <w:p w:rsidR="003E064B" w:rsidRDefault="003E064B" w:rsidP="000B0FC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64B" w:rsidRDefault="003E064B">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64B" w:rsidRDefault="003E064B">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64B" w:rsidRDefault="003E064B">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3D0EED"/>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2C70067C"/>
    <w:multiLevelType w:val="hybridMultilevel"/>
    <w:tmpl w:val="51D27D64"/>
    <w:lvl w:ilvl="0" w:tplc="C9C2C42E">
      <w:start w:val="3"/>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3BE339B"/>
    <w:multiLevelType w:val="multilevel"/>
    <w:tmpl w:val="7E54CF34"/>
    <w:lvl w:ilvl="0">
      <w:start w:val="1"/>
      <w:numFmt w:val="decimal"/>
      <w:lvlText w:val="%1."/>
      <w:lvlJc w:val="left"/>
      <w:pPr>
        <w:ind w:left="1777" w:hanging="360"/>
      </w:pPr>
    </w:lvl>
    <w:lvl w:ilvl="1">
      <w:start w:val="2"/>
      <w:numFmt w:val="decimal"/>
      <w:isLgl/>
      <w:lvlText w:val="%1.%2"/>
      <w:lvlJc w:val="left"/>
      <w:pPr>
        <w:ind w:left="2769" w:hanging="360"/>
      </w:pPr>
      <w:rPr>
        <w:rFonts w:hint="default"/>
      </w:rPr>
    </w:lvl>
    <w:lvl w:ilvl="2">
      <w:start w:val="1"/>
      <w:numFmt w:val="decimal"/>
      <w:isLgl/>
      <w:lvlText w:val="%1.%2.%3"/>
      <w:lvlJc w:val="left"/>
      <w:pPr>
        <w:ind w:left="4121" w:hanging="720"/>
      </w:pPr>
      <w:rPr>
        <w:rFonts w:hint="default"/>
      </w:rPr>
    </w:lvl>
    <w:lvl w:ilvl="3">
      <w:start w:val="1"/>
      <w:numFmt w:val="decimal"/>
      <w:isLgl/>
      <w:lvlText w:val="%1.%2.%3.%4"/>
      <w:lvlJc w:val="left"/>
      <w:pPr>
        <w:ind w:left="5113" w:hanging="720"/>
      </w:pPr>
      <w:rPr>
        <w:rFonts w:hint="default"/>
      </w:rPr>
    </w:lvl>
    <w:lvl w:ilvl="4">
      <w:start w:val="1"/>
      <w:numFmt w:val="decimal"/>
      <w:isLgl/>
      <w:lvlText w:val="%1.%2.%3.%4.%5"/>
      <w:lvlJc w:val="left"/>
      <w:pPr>
        <w:ind w:left="6465" w:hanging="1080"/>
      </w:pPr>
      <w:rPr>
        <w:rFonts w:hint="default"/>
      </w:rPr>
    </w:lvl>
    <w:lvl w:ilvl="5">
      <w:start w:val="1"/>
      <w:numFmt w:val="decimal"/>
      <w:isLgl/>
      <w:lvlText w:val="%1.%2.%3.%4.%5.%6"/>
      <w:lvlJc w:val="left"/>
      <w:pPr>
        <w:ind w:left="7457" w:hanging="1080"/>
      </w:pPr>
      <w:rPr>
        <w:rFonts w:hint="default"/>
      </w:rPr>
    </w:lvl>
    <w:lvl w:ilvl="6">
      <w:start w:val="1"/>
      <w:numFmt w:val="decimal"/>
      <w:isLgl/>
      <w:lvlText w:val="%1.%2.%3.%4.%5.%6.%7"/>
      <w:lvlJc w:val="left"/>
      <w:pPr>
        <w:ind w:left="8809" w:hanging="1440"/>
      </w:pPr>
      <w:rPr>
        <w:rFonts w:hint="default"/>
      </w:rPr>
    </w:lvl>
    <w:lvl w:ilvl="7">
      <w:start w:val="1"/>
      <w:numFmt w:val="decimal"/>
      <w:isLgl/>
      <w:lvlText w:val="%1.%2.%3.%4.%5.%6.%7.%8"/>
      <w:lvlJc w:val="left"/>
      <w:pPr>
        <w:ind w:left="9801" w:hanging="1440"/>
      </w:pPr>
      <w:rPr>
        <w:rFonts w:hint="default"/>
      </w:rPr>
    </w:lvl>
    <w:lvl w:ilvl="8">
      <w:start w:val="1"/>
      <w:numFmt w:val="decimal"/>
      <w:isLgl/>
      <w:lvlText w:val="%1.%2.%3.%4.%5.%6.%7.%8.%9"/>
      <w:lvlJc w:val="left"/>
      <w:pPr>
        <w:ind w:left="11153" w:hanging="1800"/>
      </w:pPr>
      <w:rPr>
        <w:rFonts w:hint="default"/>
      </w:rPr>
    </w:lvl>
  </w:abstractNum>
  <w:abstractNum w:abstractNumId="3">
    <w:nsid w:val="35E001E1"/>
    <w:multiLevelType w:val="hybridMultilevel"/>
    <w:tmpl w:val="CDE2DAA0"/>
    <w:lvl w:ilvl="0" w:tplc="040C000B">
      <w:start w:val="1"/>
      <w:numFmt w:val="bullet"/>
      <w:lvlText w:val=""/>
      <w:lvlJc w:val="left"/>
      <w:pPr>
        <w:tabs>
          <w:tab w:val="num" w:pos="720"/>
        </w:tabs>
        <w:ind w:left="720" w:hanging="360"/>
      </w:pPr>
      <w:rPr>
        <w:rFonts w:ascii="Wingdings" w:hAnsi="Wingdings" w:hint="default"/>
      </w:rPr>
    </w:lvl>
    <w:lvl w:ilvl="1" w:tplc="E8163C3E">
      <w:numFmt w:val="bullet"/>
      <w:lvlText w:val="-"/>
      <w:lvlJc w:val="left"/>
      <w:pPr>
        <w:tabs>
          <w:tab w:val="num" w:pos="1440"/>
        </w:tabs>
        <w:ind w:left="1440" w:hanging="360"/>
      </w:pPr>
      <w:rPr>
        <w:rFonts w:ascii="Times New Roman" w:eastAsia="Times New Roman" w:hAnsi="Times New Roman" w:cs="Times New Roman" w:hint="default"/>
      </w:rPr>
    </w:lvl>
    <w:lvl w:ilvl="2" w:tplc="040C000B">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425E52AA"/>
    <w:multiLevelType w:val="multilevel"/>
    <w:tmpl w:val="A3D6E340"/>
    <w:lvl w:ilvl="0">
      <w:start w:val="1"/>
      <w:numFmt w:val="decimal"/>
      <w:lvlText w:val="%1."/>
      <w:lvlJc w:val="left"/>
      <w:pPr>
        <w:ind w:left="1425" w:hanging="360"/>
      </w:pPr>
    </w:lvl>
    <w:lvl w:ilvl="1">
      <w:start w:val="2"/>
      <w:numFmt w:val="decimal"/>
      <w:isLgl/>
      <w:lvlText w:val="%1.%2"/>
      <w:lvlJc w:val="left"/>
      <w:pPr>
        <w:ind w:left="1785" w:hanging="720"/>
      </w:pPr>
      <w:rPr>
        <w:rFonts w:hint="default"/>
      </w:rPr>
    </w:lvl>
    <w:lvl w:ilvl="2">
      <w:start w:val="1"/>
      <w:numFmt w:val="decimal"/>
      <w:isLgl/>
      <w:lvlText w:val="%1.%2.%3"/>
      <w:lvlJc w:val="left"/>
      <w:pPr>
        <w:ind w:left="1785" w:hanging="720"/>
      </w:pPr>
      <w:rPr>
        <w:rFonts w:hint="default"/>
      </w:rPr>
    </w:lvl>
    <w:lvl w:ilvl="3">
      <w:start w:val="1"/>
      <w:numFmt w:val="decimal"/>
      <w:isLgl/>
      <w:lvlText w:val="%1.%2.%3.%4"/>
      <w:lvlJc w:val="left"/>
      <w:pPr>
        <w:ind w:left="2145" w:hanging="1080"/>
      </w:pPr>
      <w:rPr>
        <w:rFonts w:hint="default"/>
      </w:rPr>
    </w:lvl>
    <w:lvl w:ilvl="4">
      <w:start w:val="1"/>
      <w:numFmt w:val="decimal"/>
      <w:isLgl/>
      <w:lvlText w:val="%1.%2.%3.%4.%5"/>
      <w:lvlJc w:val="left"/>
      <w:pPr>
        <w:ind w:left="2145"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865" w:hanging="1800"/>
      </w:pPr>
      <w:rPr>
        <w:rFonts w:hint="default"/>
      </w:rPr>
    </w:lvl>
    <w:lvl w:ilvl="7">
      <w:start w:val="1"/>
      <w:numFmt w:val="decimal"/>
      <w:isLgl/>
      <w:lvlText w:val="%1.%2.%3.%4.%5.%6.%7.%8"/>
      <w:lvlJc w:val="left"/>
      <w:pPr>
        <w:ind w:left="2865" w:hanging="1800"/>
      </w:pPr>
      <w:rPr>
        <w:rFonts w:hint="default"/>
      </w:rPr>
    </w:lvl>
    <w:lvl w:ilvl="8">
      <w:start w:val="1"/>
      <w:numFmt w:val="decimal"/>
      <w:isLgl/>
      <w:lvlText w:val="%1.%2.%3.%4.%5.%6.%7.%8.%9"/>
      <w:lvlJc w:val="left"/>
      <w:pPr>
        <w:ind w:left="3225" w:hanging="2160"/>
      </w:pPr>
      <w:rPr>
        <w:rFonts w:hint="default"/>
      </w:rPr>
    </w:lvl>
  </w:abstractNum>
  <w:abstractNum w:abstractNumId="5">
    <w:nsid w:val="469F1855"/>
    <w:multiLevelType w:val="multilevel"/>
    <w:tmpl w:val="040C001D"/>
    <w:lvl w:ilvl="0">
      <w:start w:val="1"/>
      <w:numFmt w:val="decimal"/>
      <w:lvlText w:val="%1)"/>
      <w:lvlJc w:val="left"/>
      <w:pPr>
        <w:ind w:left="1778" w:hanging="360"/>
      </w:pPr>
    </w:lvl>
    <w:lvl w:ilvl="1">
      <w:start w:val="1"/>
      <w:numFmt w:val="lowerLetter"/>
      <w:lvlText w:val="%2)"/>
      <w:lvlJc w:val="left"/>
      <w:pPr>
        <w:ind w:left="2138" w:hanging="360"/>
      </w:pPr>
    </w:lvl>
    <w:lvl w:ilvl="2">
      <w:start w:val="1"/>
      <w:numFmt w:val="lowerRoman"/>
      <w:lvlText w:val="%3)"/>
      <w:lvlJc w:val="left"/>
      <w:pPr>
        <w:ind w:left="2498" w:hanging="360"/>
      </w:pPr>
    </w:lvl>
    <w:lvl w:ilvl="3">
      <w:start w:val="1"/>
      <w:numFmt w:val="decimal"/>
      <w:lvlText w:val="(%4)"/>
      <w:lvlJc w:val="left"/>
      <w:pPr>
        <w:ind w:left="2858" w:hanging="360"/>
      </w:pPr>
    </w:lvl>
    <w:lvl w:ilvl="4">
      <w:start w:val="1"/>
      <w:numFmt w:val="lowerLetter"/>
      <w:lvlText w:val="(%5)"/>
      <w:lvlJc w:val="left"/>
      <w:pPr>
        <w:ind w:left="3218" w:hanging="360"/>
      </w:pPr>
    </w:lvl>
    <w:lvl w:ilvl="5">
      <w:start w:val="1"/>
      <w:numFmt w:val="lowerRoman"/>
      <w:lvlText w:val="(%6)"/>
      <w:lvlJc w:val="left"/>
      <w:pPr>
        <w:ind w:left="3578" w:hanging="360"/>
      </w:pPr>
    </w:lvl>
    <w:lvl w:ilvl="6">
      <w:start w:val="1"/>
      <w:numFmt w:val="decimal"/>
      <w:lvlText w:val="%7."/>
      <w:lvlJc w:val="left"/>
      <w:pPr>
        <w:ind w:left="3938" w:hanging="360"/>
      </w:pPr>
    </w:lvl>
    <w:lvl w:ilvl="7">
      <w:start w:val="1"/>
      <w:numFmt w:val="lowerLetter"/>
      <w:lvlText w:val="%8."/>
      <w:lvlJc w:val="left"/>
      <w:pPr>
        <w:ind w:left="4298" w:hanging="360"/>
      </w:pPr>
    </w:lvl>
    <w:lvl w:ilvl="8">
      <w:start w:val="1"/>
      <w:numFmt w:val="lowerRoman"/>
      <w:lvlText w:val="%9."/>
      <w:lvlJc w:val="left"/>
      <w:pPr>
        <w:ind w:left="4658" w:hanging="360"/>
      </w:pPr>
    </w:lvl>
  </w:abstractNum>
  <w:abstractNum w:abstractNumId="6">
    <w:nsid w:val="6DCC6D22"/>
    <w:multiLevelType w:val="hybridMultilevel"/>
    <w:tmpl w:val="0454458E"/>
    <w:lvl w:ilvl="0" w:tplc="C9C2C42E">
      <w:start w:val="3"/>
      <w:numFmt w:val="bullet"/>
      <w:lvlText w:val="-"/>
      <w:lvlJc w:val="left"/>
      <w:pPr>
        <w:ind w:left="1680" w:hanging="360"/>
      </w:pPr>
      <w:rPr>
        <w:rFonts w:ascii="Arial" w:eastAsia="Times New Roman" w:hAnsi="Arial" w:cs="Arial" w:hint="default"/>
      </w:rPr>
    </w:lvl>
    <w:lvl w:ilvl="1" w:tplc="040C0003" w:tentative="1">
      <w:start w:val="1"/>
      <w:numFmt w:val="bullet"/>
      <w:lvlText w:val="o"/>
      <w:lvlJc w:val="left"/>
      <w:pPr>
        <w:ind w:left="2400" w:hanging="360"/>
      </w:pPr>
      <w:rPr>
        <w:rFonts w:ascii="Courier New" w:hAnsi="Courier New" w:cs="Courier New" w:hint="default"/>
      </w:rPr>
    </w:lvl>
    <w:lvl w:ilvl="2" w:tplc="040C0005" w:tentative="1">
      <w:start w:val="1"/>
      <w:numFmt w:val="bullet"/>
      <w:lvlText w:val=""/>
      <w:lvlJc w:val="left"/>
      <w:pPr>
        <w:ind w:left="3120" w:hanging="360"/>
      </w:pPr>
      <w:rPr>
        <w:rFonts w:ascii="Wingdings" w:hAnsi="Wingdings" w:hint="default"/>
      </w:rPr>
    </w:lvl>
    <w:lvl w:ilvl="3" w:tplc="040C0001" w:tentative="1">
      <w:start w:val="1"/>
      <w:numFmt w:val="bullet"/>
      <w:lvlText w:val=""/>
      <w:lvlJc w:val="left"/>
      <w:pPr>
        <w:ind w:left="3840" w:hanging="360"/>
      </w:pPr>
      <w:rPr>
        <w:rFonts w:ascii="Symbol" w:hAnsi="Symbol" w:hint="default"/>
      </w:rPr>
    </w:lvl>
    <w:lvl w:ilvl="4" w:tplc="040C0003" w:tentative="1">
      <w:start w:val="1"/>
      <w:numFmt w:val="bullet"/>
      <w:lvlText w:val="o"/>
      <w:lvlJc w:val="left"/>
      <w:pPr>
        <w:ind w:left="4560" w:hanging="360"/>
      </w:pPr>
      <w:rPr>
        <w:rFonts w:ascii="Courier New" w:hAnsi="Courier New" w:cs="Courier New" w:hint="default"/>
      </w:rPr>
    </w:lvl>
    <w:lvl w:ilvl="5" w:tplc="040C0005" w:tentative="1">
      <w:start w:val="1"/>
      <w:numFmt w:val="bullet"/>
      <w:lvlText w:val=""/>
      <w:lvlJc w:val="left"/>
      <w:pPr>
        <w:ind w:left="5280" w:hanging="360"/>
      </w:pPr>
      <w:rPr>
        <w:rFonts w:ascii="Wingdings" w:hAnsi="Wingdings" w:hint="default"/>
      </w:rPr>
    </w:lvl>
    <w:lvl w:ilvl="6" w:tplc="040C0001" w:tentative="1">
      <w:start w:val="1"/>
      <w:numFmt w:val="bullet"/>
      <w:lvlText w:val=""/>
      <w:lvlJc w:val="left"/>
      <w:pPr>
        <w:ind w:left="6000" w:hanging="360"/>
      </w:pPr>
      <w:rPr>
        <w:rFonts w:ascii="Symbol" w:hAnsi="Symbol" w:hint="default"/>
      </w:rPr>
    </w:lvl>
    <w:lvl w:ilvl="7" w:tplc="040C0003" w:tentative="1">
      <w:start w:val="1"/>
      <w:numFmt w:val="bullet"/>
      <w:lvlText w:val="o"/>
      <w:lvlJc w:val="left"/>
      <w:pPr>
        <w:ind w:left="6720" w:hanging="360"/>
      </w:pPr>
      <w:rPr>
        <w:rFonts w:ascii="Courier New" w:hAnsi="Courier New" w:cs="Courier New" w:hint="default"/>
      </w:rPr>
    </w:lvl>
    <w:lvl w:ilvl="8" w:tplc="040C0005" w:tentative="1">
      <w:start w:val="1"/>
      <w:numFmt w:val="bullet"/>
      <w:lvlText w:val=""/>
      <w:lvlJc w:val="left"/>
      <w:pPr>
        <w:ind w:left="7440" w:hanging="360"/>
      </w:pPr>
      <w:rPr>
        <w:rFonts w:ascii="Wingdings" w:hAnsi="Wingdings" w:hint="default"/>
      </w:rPr>
    </w:lvl>
  </w:abstractNum>
  <w:num w:numId="1">
    <w:abstractNumId w:val="3"/>
  </w:num>
  <w:num w:numId="2">
    <w:abstractNumId w:val="6"/>
  </w:num>
  <w:num w:numId="3">
    <w:abstractNumId w:val="1"/>
  </w:num>
  <w:num w:numId="4">
    <w:abstractNumId w:val="2"/>
  </w:num>
  <w:num w:numId="5">
    <w:abstractNumId w:val="5"/>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9"/>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AE797B"/>
    <w:rsid w:val="000246DB"/>
    <w:rsid w:val="00075204"/>
    <w:rsid w:val="000B0FC9"/>
    <w:rsid w:val="00374E44"/>
    <w:rsid w:val="003C78C8"/>
    <w:rsid w:val="003E064B"/>
    <w:rsid w:val="004A16EF"/>
    <w:rsid w:val="00535558"/>
    <w:rsid w:val="0055789C"/>
    <w:rsid w:val="006A6A12"/>
    <w:rsid w:val="006E0984"/>
    <w:rsid w:val="00704B09"/>
    <w:rsid w:val="00707D2D"/>
    <w:rsid w:val="007407CC"/>
    <w:rsid w:val="00741C8A"/>
    <w:rsid w:val="0077311C"/>
    <w:rsid w:val="007A12F1"/>
    <w:rsid w:val="00834C6A"/>
    <w:rsid w:val="008419B2"/>
    <w:rsid w:val="00962570"/>
    <w:rsid w:val="00966BC3"/>
    <w:rsid w:val="009D01D3"/>
    <w:rsid w:val="00A22AA6"/>
    <w:rsid w:val="00AC2C23"/>
    <w:rsid w:val="00AE797B"/>
    <w:rsid w:val="00B449AA"/>
    <w:rsid w:val="00C21E65"/>
    <w:rsid w:val="00C464AD"/>
    <w:rsid w:val="00C652EC"/>
    <w:rsid w:val="00CA2545"/>
    <w:rsid w:val="00D50A48"/>
    <w:rsid w:val="00D8657A"/>
    <w:rsid w:val="00DA1C30"/>
    <w:rsid w:val="00DD0688"/>
    <w:rsid w:val="00E658B1"/>
    <w:rsid w:val="00EE56C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C78C8"/>
    <w:rPr>
      <w:sz w:val="24"/>
      <w:szCs w:val="24"/>
    </w:rPr>
  </w:style>
  <w:style w:type="paragraph" w:styleId="Titre1">
    <w:name w:val="heading 1"/>
    <w:basedOn w:val="Normal"/>
    <w:next w:val="Normal"/>
    <w:qFormat/>
    <w:rsid w:val="003C78C8"/>
    <w:pPr>
      <w:keepNext/>
      <w:outlineLvl w:val="0"/>
    </w:pPr>
    <w:rPr>
      <w:b/>
      <w:bCs/>
    </w:rPr>
  </w:style>
  <w:style w:type="paragraph" w:styleId="Titre2">
    <w:name w:val="heading 2"/>
    <w:basedOn w:val="Normal"/>
    <w:next w:val="Normal"/>
    <w:link w:val="Titre2Car"/>
    <w:semiHidden/>
    <w:unhideWhenUsed/>
    <w:qFormat/>
    <w:rsid w:val="006E0984"/>
    <w:pPr>
      <w:keepNext/>
      <w:spacing w:before="240" w:after="60"/>
      <w:outlineLvl w:val="1"/>
    </w:pPr>
    <w:rPr>
      <w:rFonts w:ascii="Calibri Light" w:hAnsi="Calibri Light"/>
      <w:b/>
      <w:bCs/>
      <w:i/>
      <w:iCs/>
      <w:sz w:val="28"/>
      <w:szCs w:val="28"/>
    </w:rPr>
  </w:style>
  <w:style w:type="paragraph" w:styleId="Titre3">
    <w:name w:val="heading 3"/>
    <w:basedOn w:val="Normal"/>
    <w:next w:val="Normal"/>
    <w:link w:val="Titre3Car"/>
    <w:semiHidden/>
    <w:unhideWhenUsed/>
    <w:qFormat/>
    <w:rsid w:val="006E0984"/>
    <w:pPr>
      <w:keepNext/>
      <w:spacing w:before="240" w:after="60"/>
      <w:outlineLvl w:val="2"/>
    </w:pPr>
    <w:rPr>
      <w:rFonts w:ascii="Calibri Light" w:hAnsi="Calibri Light"/>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
    <w:name w:val="Body Text Indent"/>
    <w:basedOn w:val="Normal"/>
    <w:rsid w:val="003C78C8"/>
    <w:pPr>
      <w:ind w:left="708"/>
    </w:pPr>
  </w:style>
  <w:style w:type="paragraph" w:styleId="Corpsdetexte">
    <w:name w:val="Body Text"/>
    <w:basedOn w:val="Normal"/>
    <w:rsid w:val="003C78C8"/>
    <w:rPr>
      <w:i/>
      <w:iCs/>
    </w:rPr>
  </w:style>
  <w:style w:type="paragraph" w:styleId="Textedebulles">
    <w:name w:val="Balloon Text"/>
    <w:basedOn w:val="Normal"/>
    <w:link w:val="TextedebullesCar"/>
    <w:rsid w:val="00704B09"/>
    <w:rPr>
      <w:rFonts w:ascii="Tahoma" w:hAnsi="Tahoma" w:cs="Tahoma"/>
      <w:sz w:val="16"/>
      <w:szCs w:val="16"/>
    </w:rPr>
  </w:style>
  <w:style w:type="character" w:customStyle="1" w:styleId="TextedebullesCar">
    <w:name w:val="Texte de bulles Car"/>
    <w:link w:val="Textedebulles"/>
    <w:rsid w:val="00704B09"/>
    <w:rPr>
      <w:rFonts w:ascii="Tahoma" w:hAnsi="Tahoma" w:cs="Tahoma"/>
      <w:sz w:val="16"/>
      <w:szCs w:val="16"/>
    </w:rPr>
  </w:style>
  <w:style w:type="character" w:customStyle="1" w:styleId="Titre2Car">
    <w:name w:val="Titre 2 Car"/>
    <w:link w:val="Titre2"/>
    <w:semiHidden/>
    <w:rsid w:val="006E0984"/>
    <w:rPr>
      <w:rFonts w:ascii="Calibri Light" w:eastAsia="Times New Roman" w:hAnsi="Calibri Light" w:cs="Times New Roman"/>
      <w:b/>
      <w:bCs/>
      <w:i/>
      <w:iCs/>
      <w:sz w:val="28"/>
      <w:szCs w:val="28"/>
    </w:rPr>
  </w:style>
  <w:style w:type="character" w:customStyle="1" w:styleId="Titre3Car">
    <w:name w:val="Titre 3 Car"/>
    <w:link w:val="Titre3"/>
    <w:semiHidden/>
    <w:rsid w:val="006E0984"/>
    <w:rPr>
      <w:rFonts w:ascii="Calibri Light" w:eastAsia="Times New Roman" w:hAnsi="Calibri Light" w:cs="Times New Roman"/>
      <w:b/>
      <w:bCs/>
      <w:sz w:val="26"/>
      <w:szCs w:val="26"/>
    </w:rPr>
  </w:style>
  <w:style w:type="paragraph" w:styleId="Paragraphedeliste">
    <w:name w:val="List Paragraph"/>
    <w:basedOn w:val="Normal"/>
    <w:uiPriority w:val="34"/>
    <w:qFormat/>
    <w:rsid w:val="006E0984"/>
    <w:pPr>
      <w:spacing w:line="288" w:lineRule="auto"/>
      <w:ind w:left="720"/>
      <w:contextualSpacing/>
    </w:pPr>
    <w:rPr>
      <w:color w:val="5A5A5A"/>
      <w:szCs w:val="20"/>
      <w:lang w:val="en-US" w:eastAsia="en-US" w:bidi="en-US"/>
    </w:rPr>
  </w:style>
  <w:style w:type="paragraph" w:customStyle="1" w:styleId="Normal2">
    <w:name w:val="Normal2"/>
    <w:basedOn w:val="Normal"/>
    <w:rsid w:val="006E0984"/>
    <w:pPr>
      <w:keepLines/>
      <w:tabs>
        <w:tab w:val="left" w:pos="567"/>
        <w:tab w:val="left" w:pos="851"/>
        <w:tab w:val="left" w:pos="1134"/>
      </w:tabs>
      <w:spacing w:line="288" w:lineRule="auto"/>
      <w:ind w:left="284" w:firstLine="284"/>
      <w:jc w:val="both"/>
    </w:pPr>
    <w:rPr>
      <w:color w:val="5A5A5A"/>
      <w:sz w:val="22"/>
      <w:szCs w:val="20"/>
      <w:lang w:val="en-US" w:eastAsia="en-US" w:bidi="en-US"/>
    </w:rPr>
  </w:style>
  <w:style w:type="paragraph" w:styleId="Sous-titre">
    <w:name w:val="Subtitle"/>
    <w:basedOn w:val="Normal"/>
    <w:next w:val="Normal"/>
    <w:link w:val="Sous-titreCar"/>
    <w:qFormat/>
    <w:rsid w:val="006E0984"/>
    <w:pPr>
      <w:spacing w:after="60"/>
      <w:jc w:val="center"/>
      <w:outlineLvl w:val="1"/>
    </w:pPr>
    <w:rPr>
      <w:rFonts w:ascii="Calibri Light" w:hAnsi="Calibri Light"/>
    </w:rPr>
  </w:style>
  <w:style w:type="character" w:customStyle="1" w:styleId="Sous-titreCar">
    <w:name w:val="Sous-titre Car"/>
    <w:link w:val="Sous-titre"/>
    <w:rsid w:val="006E0984"/>
    <w:rPr>
      <w:rFonts w:ascii="Calibri Light" w:eastAsia="Times New Roman" w:hAnsi="Calibri Light" w:cs="Times New Roman"/>
      <w:sz w:val="24"/>
      <w:szCs w:val="24"/>
    </w:rPr>
  </w:style>
  <w:style w:type="paragraph" w:styleId="Titre">
    <w:name w:val="Title"/>
    <w:basedOn w:val="Normal"/>
    <w:next w:val="Normal"/>
    <w:link w:val="TitreCar"/>
    <w:qFormat/>
    <w:rsid w:val="006E0984"/>
    <w:pPr>
      <w:spacing w:before="240" w:after="60"/>
      <w:jc w:val="center"/>
      <w:outlineLvl w:val="0"/>
    </w:pPr>
    <w:rPr>
      <w:rFonts w:ascii="Calibri Light" w:hAnsi="Calibri Light"/>
      <w:b/>
      <w:bCs/>
      <w:kern w:val="28"/>
      <w:sz w:val="32"/>
      <w:szCs w:val="32"/>
    </w:rPr>
  </w:style>
  <w:style w:type="character" w:customStyle="1" w:styleId="TitreCar">
    <w:name w:val="Titre Car"/>
    <w:link w:val="Titre"/>
    <w:rsid w:val="006E0984"/>
    <w:rPr>
      <w:rFonts w:ascii="Calibri Light" w:eastAsia="Times New Roman" w:hAnsi="Calibri Light" w:cs="Times New Roman"/>
      <w:b/>
      <w:bCs/>
      <w:kern w:val="28"/>
      <w:sz w:val="32"/>
      <w:szCs w:val="32"/>
    </w:rPr>
  </w:style>
  <w:style w:type="character" w:styleId="lev">
    <w:name w:val="Strong"/>
    <w:uiPriority w:val="22"/>
    <w:qFormat/>
    <w:rsid w:val="006E0984"/>
    <w:rPr>
      <w:b/>
      <w:bCs/>
    </w:rPr>
  </w:style>
  <w:style w:type="character" w:styleId="Emphaseintense">
    <w:name w:val="Intense Emphasis"/>
    <w:basedOn w:val="Policepardfaut"/>
    <w:uiPriority w:val="21"/>
    <w:qFormat/>
    <w:rsid w:val="00374E44"/>
    <w:rPr>
      <w:b/>
      <w:bCs/>
      <w:i/>
      <w:iCs/>
      <w:color w:val="4F81BD" w:themeColor="accent1"/>
    </w:rPr>
  </w:style>
  <w:style w:type="character" w:styleId="Emphaseple">
    <w:name w:val="Subtle Emphasis"/>
    <w:basedOn w:val="Policepardfaut"/>
    <w:uiPriority w:val="19"/>
    <w:qFormat/>
    <w:rsid w:val="000246DB"/>
    <w:rPr>
      <w:i/>
      <w:iCs/>
      <w:color w:val="808080" w:themeColor="text1" w:themeTint="7F"/>
    </w:rPr>
  </w:style>
  <w:style w:type="paragraph" w:styleId="En-tte">
    <w:name w:val="header"/>
    <w:basedOn w:val="Normal"/>
    <w:link w:val="En-tteCar"/>
    <w:rsid w:val="000B0FC9"/>
    <w:pPr>
      <w:tabs>
        <w:tab w:val="center" w:pos="4536"/>
        <w:tab w:val="right" w:pos="9072"/>
      </w:tabs>
    </w:pPr>
  </w:style>
  <w:style w:type="character" w:customStyle="1" w:styleId="En-tteCar">
    <w:name w:val="En-tête Car"/>
    <w:basedOn w:val="Policepardfaut"/>
    <w:link w:val="En-tte"/>
    <w:rsid w:val="000B0FC9"/>
    <w:rPr>
      <w:sz w:val="24"/>
      <w:szCs w:val="24"/>
    </w:rPr>
  </w:style>
  <w:style w:type="paragraph" w:styleId="Pieddepage">
    <w:name w:val="footer"/>
    <w:basedOn w:val="Normal"/>
    <w:link w:val="PieddepageCar"/>
    <w:uiPriority w:val="99"/>
    <w:rsid w:val="000B0FC9"/>
    <w:pPr>
      <w:tabs>
        <w:tab w:val="center" w:pos="4536"/>
        <w:tab w:val="right" w:pos="9072"/>
      </w:tabs>
    </w:pPr>
  </w:style>
  <w:style w:type="character" w:customStyle="1" w:styleId="PieddepageCar">
    <w:name w:val="Pied de page Car"/>
    <w:basedOn w:val="Policepardfaut"/>
    <w:link w:val="Pieddepage"/>
    <w:uiPriority w:val="99"/>
    <w:rsid w:val="000B0FC9"/>
    <w:rPr>
      <w:sz w:val="24"/>
      <w:szCs w:val="24"/>
    </w:rPr>
  </w:style>
  <w:style w:type="character" w:styleId="Lienhypertexte">
    <w:name w:val="Hyperlink"/>
    <w:basedOn w:val="Policepardfaut"/>
    <w:uiPriority w:val="99"/>
    <w:unhideWhenUsed/>
    <w:rsid w:val="008419B2"/>
    <w:rPr>
      <w:color w:val="0000FF"/>
      <w:u w:val="single"/>
    </w:rPr>
  </w:style>
  <w:style w:type="character" w:styleId="Lienhypertextesuivivisit">
    <w:name w:val="FollowedHyperlink"/>
    <w:basedOn w:val="Policepardfaut"/>
    <w:rsid w:val="008419B2"/>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gifrance.gouv.fr/affichTexte.do?cidTexte=JORFTEXT000024614763" TargetMode="External"/><Relationship Id="rId13" Type="http://schemas.openxmlformats.org/officeDocument/2006/relationships/hyperlink" Target="https://www.legifrance.gouv.fr/jorf/id/JORFTEXT000000393027"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legifrance.gouv.fr/affichTexte.do?cidTexte=JORFTEXT000024614716&amp;dateTexte&amp;categorieLien=id" TargetMode="External"/><Relationship Id="rId12" Type="http://schemas.openxmlformats.org/officeDocument/2006/relationships/hyperlink" Target="https://www.legifrance.gouv.fr/loda/id/JORFTEXT000000193593"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conomie.gouv.fr/daj/guide-lachat-public-fruits-legumes-et-pommes-terre-a-letat-frais"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www.economie.gouv.fr/files/files/directions_services/daj/marches_publics/oeap/gem/nutrition/fiche-nutrition-milieu-scolaire.pdf?v=1570528746"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eur-lex.europa.eu/LexUriServ/LexUriServ.do?uri=OJ:L:2011:304:0018:0063:fr:PDF" TargetMode="External"/><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3</Pages>
  <Words>1169</Words>
  <Characters>7544</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CLAUSES TECHNIQUES</vt:lpstr>
    </vt:vector>
  </TitlesOfParts>
  <Company>Lycée Pierre MENDES FRANCE</Company>
  <LinksUpToDate>false</LinksUpToDate>
  <CharactersWithSpaces>8696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CLAUSES TECHNIQUES</dc:title>
  <dc:creator>LYCEE PIERRE MENDES FRANCE</dc:creator>
  <cp:lastModifiedBy>christine.gerard</cp:lastModifiedBy>
  <cp:revision>11</cp:revision>
  <cp:lastPrinted>2021-01-25T09:08:00Z</cp:lastPrinted>
  <dcterms:created xsi:type="dcterms:W3CDTF">2021-01-25T09:47:00Z</dcterms:created>
  <dcterms:modified xsi:type="dcterms:W3CDTF">2023-12-07T14:03:00Z</dcterms:modified>
</cp:coreProperties>
</file>