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3E" w:rsidRDefault="00CD792D" w:rsidP="007E0497">
      <w:pPr>
        <w:jc w:val="center"/>
        <w:rPr>
          <w:b/>
        </w:rPr>
      </w:pPr>
      <w:r>
        <w:rPr>
          <w:b/>
        </w:rPr>
        <w:t xml:space="preserve">CAHIER DES </w:t>
      </w:r>
      <w:r w:rsidR="0054562A">
        <w:rPr>
          <w:b/>
        </w:rPr>
        <w:t>CLAUSES TECHNIQUES</w:t>
      </w:r>
      <w:r w:rsidR="00555045">
        <w:rPr>
          <w:b/>
        </w:rPr>
        <w:t xml:space="preserve"> </w:t>
      </w:r>
    </w:p>
    <w:p w:rsidR="00CD792D" w:rsidRDefault="00CD792D" w:rsidP="007E0497">
      <w:pPr>
        <w:jc w:val="center"/>
        <w:rPr>
          <w:b/>
        </w:rPr>
      </w:pPr>
    </w:p>
    <w:p w:rsidR="0054562A" w:rsidRDefault="0054562A" w:rsidP="00F4474B">
      <w:pPr>
        <w:jc w:val="center"/>
        <w:rPr>
          <w:b/>
        </w:rPr>
      </w:pPr>
      <w:r w:rsidRPr="00555045">
        <w:rPr>
          <w:b/>
        </w:rPr>
        <w:t>– EPICERIE</w:t>
      </w:r>
      <w:r w:rsidR="00A0611B" w:rsidRPr="00555045">
        <w:rPr>
          <w:b/>
        </w:rPr>
        <w:t xml:space="preserve"> –</w:t>
      </w:r>
    </w:p>
    <w:p w:rsidR="00921231" w:rsidRDefault="00921231" w:rsidP="00F4474B">
      <w:pPr>
        <w:jc w:val="center"/>
        <w:rPr>
          <w:b/>
        </w:rPr>
      </w:pPr>
    </w:p>
    <w:p w:rsidR="00F4474B" w:rsidRDefault="00F4474B" w:rsidP="00F4474B">
      <w:pPr>
        <w:jc w:val="center"/>
        <w:rPr>
          <w:sz w:val="16"/>
          <w:szCs w:val="16"/>
        </w:rPr>
      </w:pPr>
      <w:r>
        <w:rPr>
          <w:b/>
        </w:rPr>
        <w:t>CONSTITUE DE 6 LOTS</w:t>
      </w:r>
    </w:p>
    <w:p w:rsidR="00DA5F15" w:rsidRDefault="00DA5F15" w:rsidP="0054562A">
      <w:pPr>
        <w:rPr>
          <w:sz w:val="16"/>
          <w:szCs w:val="16"/>
        </w:rPr>
      </w:pPr>
    </w:p>
    <w:p w:rsidR="0054562A" w:rsidRDefault="0054562A" w:rsidP="0054562A">
      <w:pPr>
        <w:rPr>
          <w:sz w:val="16"/>
          <w:szCs w:val="16"/>
        </w:rPr>
      </w:pPr>
    </w:p>
    <w:p w:rsidR="003D22B0" w:rsidRPr="003D22B0" w:rsidRDefault="00921231" w:rsidP="00921231">
      <w:pPr>
        <w:pStyle w:val="Titre2"/>
        <w:shd w:val="clear" w:color="auto" w:fill="B8CCE4" w:themeFill="accent1" w:themeFillTint="66"/>
        <w:ind w:left="0"/>
        <w:rPr>
          <w:lang w:val="fr-FR"/>
        </w:rPr>
      </w:pPr>
      <w:bookmarkStart w:id="0" w:name="_Toc485390831"/>
      <w:bookmarkStart w:id="1" w:name="_Toc485390957"/>
      <w:bookmarkStart w:id="2" w:name="_Toc485391254"/>
      <w:bookmarkStart w:id="3" w:name="_Toc487446967"/>
      <w:bookmarkStart w:id="4" w:name="_Toc487447773"/>
      <w:bookmarkStart w:id="5" w:name="_Hlk62383595"/>
      <w:proofErr w:type="gramStart"/>
      <w:r>
        <w:rPr>
          <w:lang w:val="fr-FR"/>
        </w:rPr>
        <w:t>1.</w:t>
      </w:r>
      <w:r w:rsidR="003D22B0" w:rsidRPr="003D22B0">
        <w:rPr>
          <w:lang w:val="fr-FR"/>
        </w:rPr>
        <w:t>Normes</w:t>
      </w:r>
      <w:proofErr w:type="gramEnd"/>
      <w:r w:rsidR="003D22B0" w:rsidRPr="003D22B0">
        <w:rPr>
          <w:lang w:val="fr-FR"/>
        </w:rPr>
        <w:t xml:space="preserve"> et recommandations</w:t>
      </w:r>
      <w:bookmarkEnd w:id="0"/>
      <w:bookmarkEnd w:id="1"/>
      <w:bookmarkEnd w:id="2"/>
      <w:bookmarkEnd w:id="3"/>
      <w:bookmarkEnd w:id="4"/>
      <w:r w:rsidR="003D22B0" w:rsidRPr="003D22B0">
        <w:rPr>
          <w:lang w:val="fr-FR"/>
        </w:rPr>
        <w:t xml:space="preserve"> communs a tous les lots</w:t>
      </w:r>
    </w:p>
    <w:p w:rsidR="003D22B0" w:rsidRPr="00D11192" w:rsidRDefault="003D22B0" w:rsidP="003D22B0">
      <w:pPr>
        <w:pStyle w:val="Titre2"/>
        <w:rPr>
          <w:lang w:val="fr-FR"/>
        </w:rPr>
      </w:pPr>
    </w:p>
    <w:p w:rsidR="000D1C17" w:rsidRPr="000A5629" w:rsidRDefault="000D1C17" w:rsidP="000D1C17">
      <w:pPr>
        <w:pStyle w:val="Titre3"/>
        <w:ind w:left="1843" w:hanging="709"/>
        <w:jc w:val="both"/>
        <w:rPr>
          <w:color w:val="365F91"/>
        </w:rPr>
      </w:pPr>
      <w:r w:rsidRPr="000A5629">
        <w:rPr>
          <w:color w:val="365F91"/>
        </w:rPr>
        <w:t>1</w:t>
      </w:r>
      <w:r>
        <w:rPr>
          <w:color w:val="365F91"/>
        </w:rPr>
        <w:t xml:space="preserve">.1 </w:t>
      </w:r>
      <w:proofErr w:type="spellStart"/>
      <w:r>
        <w:rPr>
          <w:color w:val="365F91"/>
        </w:rPr>
        <w:t>Concernant</w:t>
      </w:r>
      <w:proofErr w:type="spellEnd"/>
      <w:r w:rsidRPr="000A5629">
        <w:rPr>
          <w:color w:val="365F91"/>
        </w:rPr>
        <w:t xml:space="preserve"> les </w:t>
      </w:r>
      <w:proofErr w:type="spellStart"/>
      <w:r w:rsidRPr="000A5629">
        <w:rPr>
          <w:color w:val="365F91"/>
        </w:rPr>
        <w:t>produits</w:t>
      </w:r>
      <w:proofErr w:type="spellEnd"/>
      <w:r w:rsidRPr="000A5629">
        <w:rPr>
          <w:color w:val="365F91"/>
        </w:rPr>
        <w:t xml:space="preserve"> </w:t>
      </w:r>
    </w:p>
    <w:p w:rsidR="003D22B0" w:rsidRPr="00DB6847" w:rsidRDefault="003D22B0" w:rsidP="003D22B0">
      <w:pPr>
        <w:tabs>
          <w:tab w:val="left" w:pos="2340"/>
        </w:tabs>
        <w:jc w:val="both"/>
      </w:pPr>
      <w:r w:rsidRPr="00DB6847">
        <w:tab/>
      </w:r>
    </w:p>
    <w:p w:rsidR="003D22B0" w:rsidRPr="00DB6847" w:rsidRDefault="003D22B0" w:rsidP="00CD792D">
      <w:pPr>
        <w:tabs>
          <w:tab w:val="left" w:pos="2520"/>
        </w:tabs>
        <w:jc w:val="both"/>
        <w:rPr>
          <w:bCs/>
          <w:sz w:val="22"/>
          <w:szCs w:val="22"/>
        </w:rPr>
      </w:pPr>
      <w:r w:rsidRPr="00DB6847">
        <w:rPr>
          <w:bCs/>
          <w:sz w:val="22"/>
          <w:szCs w:val="22"/>
        </w:rPr>
        <w:t>Les produits alimentaires doivent être conformes aux :</w:t>
      </w:r>
    </w:p>
    <w:p w:rsidR="000D1C17" w:rsidRDefault="00D2710E" w:rsidP="00D2710E">
      <w:pPr>
        <w:pStyle w:val="Paragraphedeliste"/>
        <w:numPr>
          <w:ilvl w:val="0"/>
          <w:numId w:val="6"/>
        </w:numPr>
        <w:ind w:left="567" w:firstLine="0"/>
        <w:jc w:val="both"/>
        <w:rPr>
          <w:bCs/>
          <w:color w:val="auto"/>
          <w:sz w:val="22"/>
          <w:szCs w:val="22"/>
          <w:lang w:val="fr-FR"/>
        </w:rPr>
      </w:pPr>
      <w:r w:rsidRPr="00D2710E">
        <w:rPr>
          <w:bCs/>
          <w:color w:val="auto"/>
          <w:sz w:val="22"/>
          <w:szCs w:val="22"/>
          <w:lang w:val="fr-FR"/>
        </w:rPr>
        <w:t xml:space="preserve">Décret n° 2011-1227 du 30 septembre 2011 relatif à la qualité nutritionnelle des repas servis dans le cadre de la restauration scolaire </w:t>
      </w:r>
      <w:r>
        <w:rPr>
          <w:bCs/>
          <w:color w:val="auto"/>
          <w:sz w:val="22"/>
          <w:szCs w:val="22"/>
          <w:lang w:val="fr-FR"/>
        </w:rPr>
        <w:t xml:space="preserve">consultable </w:t>
      </w:r>
      <w:r w:rsidRPr="00D2710E">
        <w:rPr>
          <w:bCs/>
          <w:color w:val="auto"/>
          <w:sz w:val="22"/>
          <w:szCs w:val="22"/>
          <w:lang w:val="fr-FR"/>
        </w:rPr>
        <w:t>sur</w:t>
      </w:r>
      <w:r>
        <w:rPr>
          <w:bCs/>
          <w:color w:val="auto"/>
          <w:sz w:val="22"/>
          <w:szCs w:val="22"/>
          <w:lang w:val="fr-FR"/>
        </w:rPr>
        <w:t xml:space="preserve"> le site gouvernemental :</w:t>
      </w:r>
    </w:p>
    <w:p w:rsidR="00D2710E" w:rsidRPr="000D1C17" w:rsidRDefault="00D2710E" w:rsidP="000D1C17">
      <w:pPr>
        <w:pStyle w:val="Paragraphedeliste"/>
        <w:ind w:left="567"/>
        <w:jc w:val="both"/>
        <w:rPr>
          <w:bCs/>
          <w:color w:val="auto"/>
          <w:sz w:val="20"/>
          <w:szCs w:val="22"/>
          <w:lang w:val="fr-FR"/>
        </w:rPr>
      </w:pPr>
      <w:hyperlink r:id="rId7" w:history="1">
        <w:r w:rsidRPr="000D1C17">
          <w:rPr>
            <w:rStyle w:val="Lienhypertexte"/>
            <w:bCs/>
            <w:sz w:val="20"/>
            <w:szCs w:val="22"/>
            <w:lang w:val="fr-FR"/>
          </w:rPr>
          <w:t>http://www.legifrance.gouv.f</w:t>
        </w:r>
        <w:r w:rsidRPr="000D1C17">
          <w:rPr>
            <w:rStyle w:val="Lienhypertexte"/>
            <w:bCs/>
            <w:sz w:val="20"/>
            <w:szCs w:val="22"/>
            <w:lang w:val="fr-FR"/>
          </w:rPr>
          <w:t>r</w:t>
        </w:r>
        <w:r w:rsidRPr="000D1C17">
          <w:rPr>
            <w:rStyle w:val="Lienhypertexte"/>
            <w:bCs/>
            <w:sz w:val="20"/>
            <w:szCs w:val="22"/>
            <w:lang w:val="fr-FR"/>
          </w:rPr>
          <w:t>/affichTexte.do?cidTexte=JORFTEXT000024614716&amp;dateTexte&amp;categorieLien=id</w:t>
        </w:r>
      </w:hyperlink>
    </w:p>
    <w:p w:rsidR="000D1C17" w:rsidRPr="000D1C17" w:rsidRDefault="00D2710E" w:rsidP="00D2710E">
      <w:pPr>
        <w:pStyle w:val="Paragraphedeliste"/>
        <w:numPr>
          <w:ilvl w:val="0"/>
          <w:numId w:val="6"/>
        </w:numPr>
        <w:ind w:left="567" w:firstLine="0"/>
        <w:jc w:val="both"/>
        <w:rPr>
          <w:bCs/>
          <w:color w:val="auto"/>
          <w:sz w:val="20"/>
          <w:szCs w:val="22"/>
          <w:lang w:val="fr-FR"/>
        </w:rPr>
      </w:pPr>
      <w:r w:rsidRPr="00D2710E">
        <w:rPr>
          <w:bCs/>
          <w:color w:val="auto"/>
          <w:sz w:val="22"/>
          <w:szCs w:val="22"/>
          <w:lang w:val="fr-FR"/>
        </w:rPr>
        <w:t xml:space="preserve">Arrêté du 30 septembre 2011 relatif à la qualité nutritionnelle des repas servis dans le cadre de la restauration scolaire </w:t>
      </w:r>
      <w:r>
        <w:rPr>
          <w:bCs/>
          <w:color w:val="auto"/>
          <w:sz w:val="22"/>
          <w:szCs w:val="22"/>
          <w:lang w:val="fr-FR"/>
        </w:rPr>
        <w:t xml:space="preserve">consultable </w:t>
      </w:r>
      <w:r w:rsidRPr="00D2710E">
        <w:rPr>
          <w:bCs/>
          <w:color w:val="auto"/>
          <w:sz w:val="22"/>
          <w:szCs w:val="22"/>
          <w:lang w:val="fr-FR"/>
        </w:rPr>
        <w:t>sur</w:t>
      </w:r>
      <w:r>
        <w:rPr>
          <w:bCs/>
          <w:color w:val="auto"/>
          <w:sz w:val="22"/>
          <w:szCs w:val="22"/>
          <w:lang w:val="fr-FR"/>
        </w:rPr>
        <w:t xml:space="preserve"> le site gouvernemental :</w:t>
      </w:r>
    </w:p>
    <w:p w:rsidR="00D2710E" w:rsidRPr="000D1C17" w:rsidRDefault="00D2710E" w:rsidP="000D1C17">
      <w:pPr>
        <w:pStyle w:val="Paragraphedeliste"/>
        <w:ind w:left="567"/>
        <w:jc w:val="both"/>
        <w:rPr>
          <w:bCs/>
          <w:color w:val="auto"/>
          <w:sz w:val="20"/>
          <w:szCs w:val="22"/>
          <w:lang w:val="fr-FR"/>
        </w:rPr>
      </w:pPr>
      <w:hyperlink r:id="rId8" w:history="1">
        <w:r w:rsidRPr="000D1C17">
          <w:rPr>
            <w:rStyle w:val="Lienhypertexte"/>
            <w:bCs/>
            <w:sz w:val="20"/>
            <w:szCs w:val="22"/>
            <w:lang w:val="fr-FR"/>
          </w:rPr>
          <w:t>http://www.legifrance.gouv.fr/affichTexte.do?cidTexte=JORF</w:t>
        </w:r>
        <w:r w:rsidRPr="000D1C17">
          <w:rPr>
            <w:rStyle w:val="Lienhypertexte"/>
            <w:bCs/>
            <w:sz w:val="20"/>
            <w:szCs w:val="22"/>
            <w:lang w:val="fr-FR"/>
          </w:rPr>
          <w:t>T</w:t>
        </w:r>
        <w:r w:rsidRPr="000D1C17">
          <w:rPr>
            <w:rStyle w:val="Lienhypertexte"/>
            <w:bCs/>
            <w:sz w:val="20"/>
            <w:szCs w:val="22"/>
            <w:lang w:val="fr-FR"/>
          </w:rPr>
          <w:t>EXT000024614763</w:t>
        </w:r>
      </w:hyperlink>
    </w:p>
    <w:p w:rsidR="003D22B0" w:rsidRPr="000D1C17" w:rsidRDefault="003D22B0" w:rsidP="00D2710E">
      <w:pPr>
        <w:pStyle w:val="Paragraphedeliste"/>
        <w:numPr>
          <w:ilvl w:val="0"/>
          <w:numId w:val="6"/>
        </w:numPr>
        <w:ind w:left="567" w:firstLine="0"/>
        <w:jc w:val="both"/>
        <w:rPr>
          <w:bCs/>
          <w:color w:val="auto"/>
          <w:sz w:val="20"/>
          <w:szCs w:val="22"/>
          <w:lang w:val="fr-FR"/>
        </w:rPr>
      </w:pPr>
      <w:r w:rsidRPr="00DB6847">
        <w:rPr>
          <w:bCs/>
          <w:color w:val="auto"/>
          <w:sz w:val="22"/>
          <w:szCs w:val="22"/>
          <w:lang w:val="fr-FR"/>
        </w:rPr>
        <w:t>Règlement n°1169/2011 dit INCO, publié au JOUE le 22 novembre 2011 concernant l’information du consommate</w:t>
      </w:r>
      <w:r w:rsidR="002E7531">
        <w:rPr>
          <w:bCs/>
          <w:color w:val="auto"/>
          <w:sz w:val="22"/>
          <w:szCs w:val="22"/>
          <w:lang w:val="fr-FR"/>
        </w:rPr>
        <w:t>ur sur les denrées alimentaires consultable sur le site de l’Union Européenne </w:t>
      </w:r>
      <w:proofErr w:type="gramStart"/>
      <w:r w:rsidR="002E7531">
        <w:rPr>
          <w:bCs/>
          <w:color w:val="auto"/>
          <w:sz w:val="22"/>
          <w:szCs w:val="22"/>
          <w:lang w:val="fr-FR"/>
        </w:rPr>
        <w:t>:</w:t>
      </w:r>
      <w:proofErr w:type="gramEnd"/>
      <w:r w:rsidR="002E7531">
        <w:rPr>
          <w:bCs/>
          <w:color w:val="auto"/>
          <w:sz w:val="22"/>
          <w:szCs w:val="22"/>
          <w:lang w:val="fr-FR"/>
        </w:rPr>
        <w:br/>
      </w:r>
      <w:hyperlink r:id="rId9" w:history="1">
        <w:r w:rsidR="002E7531" w:rsidRPr="000D1C17">
          <w:rPr>
            <w:rStyle w:val="Lienhypertexte"/>
            <w:bCs/>
            <w:sz w:val="20"/>
            <w:szCs w:val="22"/>
            <w:lang w:val="fr-FR"/>
          </w:rPr>
          <w:t>https://eur-lex.europa.eu/LexUriServ/LexUriServ.do?uri=OJ:L:2011:304:0018:0063:fr:PDF</w:t>
        </w:r>
      </w:hyperlink>
    </w:p>
    <w:p w:rsidR="003D22B0" w:rsidRPr="000D1C17" w:rsidRDefault="00D2710E" w:rsidP="003D22B0">
      <w:pPr>
        <w:tabs>
          <w:tab w:val="left" w:pos="2520"/>
        </w:tabs>
        <w:ind w:left="567"/>
        <w:jc w:val="both"/>
        <w:rPr>
          <w:sz w:val="20"/>
        </w:rPr>
      </w:pPr>
      <w:hyperlink r:id="rId10" w:tgtFrame="_blank" w:history="1">
        <w:r w:rsidRPr="000D1C17">
          <w:rPr>
            <w:rStyle w:val="Lienhypertexte"/>
            <w:sz w:val="20"/>
          </w:rPr>
          <w:t>Recommandations nutritionnelles pour le milieu scolaire - Version 1.0</w:t>
        </w:r>
      </w:hyperlink>
    </w:p>
    <w:p w:rsidR="00D2710E" w:rsidRPr="00DB6847" w:rsidRDefault="00D2710E" w:rsidP="003D22B0">
      <w:pPr>
        <w:tabs>
          <w:tab w:val="left" w:pos="2520"/>
        </w:tabs>
        <w:ind w:left="567"/>
        <w:jc w:val="both"/>
        <w:rPr>
          <w:bCs/>
          <w:sz w:val="22"/>
          <w:szCs w:val="22"/>
        </w:rPr>
      </w:pPr>
    </w:p>
    <w:p w:rsidR="00CD792D" w:rsidRDefault="003D22B0" w:rsidP="003D22B0">
      <w:pPr>
        <w:pStyle w:val="Normal2"/>
        <w:ind w:left="0" w:firstLine="0"/>
        <w:rPr>
          <w:color w:val="auto"/>
          <w:szCs w:val="22"/>
          <w:lang w:val="fr-FR"/>
        </w:rPr>
      </w:pPr>
      <w:r w:rsidRPr="00DB6847">
        <w:rPr>
          <w:color w:val="auto"/>
          <w:szCs w:val="22"/>
          <w:lang w:val="fr-FR"/>
        </w:rPr>
        <w:t>Les produits proposés doivent répondre à toutes les spécifications énoncées dans les lois et décrets se rapportant aux denrées alimentaires destinées à l’alimentation humaine et applicables pendant la période d’exécution du marché. Ils doivent être en tous points conformes à la réglementation en vigueur les concernant et devront, en particulier en ce qui concerne la récolte, l’abattage, la transformation, le conditionnement, l’étiquetage et le transport, répondre au minimum aux dispositions prévues par les différents textes (code de la consommation, règlement européen, directives européennes, lois françaises, code des usages, normes AFNOR).</w:t>
      </w:r>
    </w:p>
    <w:p w:rsidR="00CD792D" w:rsidRDefault="00CD792D" w:rsidP="003D22B0">
      <w:pPr>
        <w:pStyle w:val="Normal2"/>
        <w:ind w:left="0" w:firstLine="0"/>
        <w:rPr>
          <w:color w:val="auto"/>
          <w:szCs w:val="22"/>
          <w:lang w:val="fr-FR"/>
        </w:rPr>
      </w:pPr>
    </w:p>
    <w:p w:rsidR="003D22B0" w:rsidRPr="00DB6847" w:rsidRDefault="003D22B0" w:rsidP="003D22B0">
      <w:pPr>
        <w:pStyle w:val="Normal2"/>
        <w:ind w:left="0" w:firstLine="0"/>
        <w:rPr>
          <w:color w:val="auto"/>
          <w:szCs w:val="22"/>
          <w:lang w:val="fr-FR"/>
        </w:rPr>
      </w:pPr>
      <w:r w:rsidRPr="00DB6847">
        <w:rPr>
          <w:color w:val="auto"/>
          <w:szCs w:val="22"/>
          <w:lang w:val="fr-FR"/>
        </w:rPr>
        <w:t>Outre les textes légaux et réglementaires qui devront être scrupuleusement respectés, les fournitures devront être conformes aux normes françaises et C.E. homologuées, aux recommandations du GEMRCN (groupe d’étude des marchés restauration collective et nutrition).</w:t>
      </w:r>
    </w:p>
    <w:p w:rsidR="003D22B0" w:rsidRPr="00DB6847" w:rsidRDefault="003D22B0" w:rsidP="003D22B0">
      <w:pPr>
        <w:pStyle w:val="Normal2"/>
        <w:ind w:left="0" w:firstLine="0"/>
        <w:rPr>
          <w:color w:val="auto"/>
          <w:szCs w:val="22"/>
          <w:lang w:val="fr-FR"/>
        </w:rPr>
      </w:pPr>
    </w:p>
    <w:p w:rsidR="003D22B0" w:rsidRPr="00DB6847" w:rsidRDefault="003D22B0" w:rsidP="003D22B0">
      <w:pPr>
        <w:pStyle w:val="Normal2"/>
        <w:ind w:left="0" w:firstLine="0"/>
        <w:rPr>
          <w:color w:val="auto"/>
          <w:szCs w:val="22"/>
          <w:lang w:val="fr-FR"/>
        </w:rPr>
      </w:pPr>
      <w:r w:rsidRPr="00DB6847">
        <w:rPr>
          <w:color w:val="auto"/>
          <w:szCs w:val="22"/>
          <w:lang w:val="fr-FR"/>
        </w:rPr>
        <w:t>Par ailleurs, le cahier des charges de la méthode dite « H.A.C.C.P. » devra être respecté aussi bien en ce qui concerne les produits que les conditions de livraison.</w:t>
      </w:r>
    </w:p>
    <w:p w:rsidR="003D22B0" w:rsidRPr="00DB6847" w:rsidRDefault="003D22B0" w:rsidP="003D22B0">
      <w:pPr>
        <w:pStyle w:val="Normal2"/>
        <w:ind w:left="0" w:firstLine="0"/>
        <w:rPr>
          <w:color w:val="auto"/>
          <w:szCs w:val="22"/>
          <w:lang w:val="fr-FR"/>
        </w:rPr>
      </w:pPr>
    </w:p>
    <w:p w:rsidR="003D22B0" w:rsidRPr="00DB6847" w:rsidRDefault="003D22B0" w:rsidP="003D22B0">
      <w:pPr>
        <w:pStyle w:val="Normal2"/>
        <w:ind w:left="0" w:firstLine="0"/>
        <w:rPr>
          <w:color w:val="auto"/>
          <w:szCs w:val="22"/>
          <w:lang w:val="fr-FR"/>
        </w:rPr>
      </w:pPr>
      <w:r w:rsidRPr="00DB6847">
        <w:rPr>
          <w:color w:val="auto"/>
          <w:szCs w:val="22"/>
          <w:lang w:val="fr-FR"/>
        </w:rPr>
        <w:t xml:space="preserve">En application du principe de précaution, les produits révélant la présence d’organismes génétiquement modifiés devront être connus et étiquetés. </w:t>
      </w:r>
      <w:r w:rsidRPr="00DB6847">
        <w:rPr>
          <w:b/>
          <w:i/>
          <w:color w:val="auto"/>
          <w:szCs w:val="22"/>
          <w:lang w:val="fr-FR"/>
        </w:rPr>
        <w:t xml:space="preserve">Les fournisseurs produiront un certificat des industriels et producteurs confirmant la présence ou l’absence d’O.G.M. dans les produits soumis au marché en </w:t>
      </w:r>
      <w:r w:rsidRPr="00DB6847">
        <w:rPr>
          <w:i/>
          <w:color w:val="auto"/>
          <w:szCs w:val="22"/>
          <w:lang w:val="fr-FR"/>
        </w:rPr>
        <w:t>a</w:t>
      </w:r>
      <w:r w:rsidRPr="00DB6847">
        <w:rPr>
          <w:color w:val="auto"/>
          <w:szCs w:val="22"/>
          <w:lang w:val="fr-FR"/>
        </w:rPr>
        <w:t>pplication de la législation et de la réglementation (C.E n° 1829/2003).</w:t>
      </w:r>
    </w:p>
    <w:p w:rsidR="003D22B0" w:rsidRPr="00DB6847" w:rsidRDefault="003D22B0" w:rsidP="003D22B0">
      <w:pPr>
        <w:pStyle w:val="Normal2"/>
        <w:ind w:left="0" w:firstLine="0"/>
        <w:rPr>
          <w:color w:val="auto"/>
          <w:szCs w:val="22"/>
          <w:lang w:val="fr-FR"/>
        </w:rPr>
      </w:pPr>
      <w:r w:rsidRPr="00DB6847">
        <w:rPr>
          <w:color w:val="auto"/>
          <w:szCs w:val="22"/>
          <w:lang w:val="fr-FR"/>
        </w:rPr>
        <w:t>Il en est de même, au regard du règlement n° 50/2000 du 10.01.2000 concernant l’étiquetage des denrées et ingrédients alimentaires contenant des additifs et aromes génétiquement modifiés en produits à partir d’O.G.M.</w:t>
      </w:r>
    </w:p>
    <w:p w:rsidR="003D22B0" w:rsidRPr="00DB6847" w:rsidRDefault="003D22B0" w:rsidP="003D22B0">
      <w:pPr>
        <w:pStyle w:val="Normal2"/>
        <w:ind w:left="0" w:firstLine="0"/>
        <w:rPr>
          <w:color w:val="auto"/>
          <w:szCs w:val="22"/>
          <w:lang w:val="fr-FR"/>
        </w:rPr>
      </w:pPr>
    </w:p>
    <w:p w:rsidR="003D22B0" w:rsidRPr="00DB6847" w:rsidRDefault="003D22B0" w:rsidP="003D22B0">
      <w:pPr>
        <w:pStyle w:val="Normal2"/>
        <w:ind w:left="0" w:firstLine="0"/>
        <w:rPr>
          <w:color w:val="auto"/>
          <w:szCs w:val="22"/>
          <w:lang w:val="fr-FR"/>
        </w:rPr>
      </w:pPr>
      <w:r w:rsidRPr="00DB6847">
        <w:rPr>
          <w:color w:val="auto"/>
          <w:szCs w:val="22"/>
          <w:lang w:val="fr-FR"/>
        </w:rPr>
        <w:t>De plus, le pouvoir adjudicateur se réserve le droit de faire effectuer des analyses inopinées, pendant la durée du marché, sur les produits afin de vérifier leur conformité au C.C.T.P. étant entendu que ces contrôles seront à la charge du titulaire, le choix du laboratoire demeure à sa convenance.</w:t>
      </w:r>
    </w:p>
    <w:p w:rsidR="003D22B0" w:rsidRPr="00DB6847" w:rsidRDefault="003D22B0" w:rsidP="003D22B0">
      <w:pPr>
        <w:pStyle w:val="Normal2"/>
        <w:ind w:left="0" w:firstLine="0"/>
        <w:rPr>
          <w:color w:val="auto"/>
          <w:szCs w:val="22"/>
          <w:lang w:val="fr-FR"/>
        </w:rPr>
      </w:pPr>
    </w:p>
    <w:p w:rsidR="003D22B0" w:rsidRDefault="003D22B0" w:rsidP="003D22B0">
      <w:pPr>
        <w:pStyle w:val="Normal2"/>
        <w:ind w:left="0" w:firstLine="0"/>
        <w:rPr>
          <w:color w:val="auto"/>
          <w:szCs w:val="22"/>
          <w:lang w:val="fr-FR"/>
        </w:rPr>
      </w:pPr>
      <w:r w:rsidRPr="00DB6847">
        <w:rPr>
          <w:color w:val="auto"/>
          <w:szCs w:val="22"/>
          <w:lang w:val="fr-FR"/>
        </w:rPr>
        <w:t>Les produits livrés dans le cadre de ce marché doivent être conformes aux fiches techniques</w:t>
      </w:r>
      <w:r>
        <w:rPr>
          <w:color w:val="auto"/>
          <w:szCs w:val="22"/>
          <w:lang w:val="fr-FR"/>
        </w:rPr>
        <w:t>.</w:t>
      </w:r>
    </w:p>
    <w:bookmarkEnd w:id="5"/>
    <w:p w:rsidR="00633842" w:rsidRDefault="00633842">
      <w:pPr>
        <w:rPr>
          <w:sz w:val="22"/>
          <w:szCs w:val="22"/>
          <w:lang w:eastAsia="en-US" w:bidi="en-US"/>
        </w:rPr>
      </w:pPr>
    </w:p>
    <w:p w:rsidR="003D22B0" w:rsidRPr="00DB6847" w:rsidRDefault="003D22B0" w:rsidP="003D22B0">
      <w:pPr>
        <w:pStyle w:val="Normal2"/>
        <w:ind w:left="0" w:firstLine="0"/>
        <w:rPr>
          <w:b/>
          <w:color w:val="auto"/>
          <w:szCs w:val="22"/>
          <w:lang w:val="fr-FR"/>
        </w:rPr>
      </w:pPr>
      <w:r w:rsidRPr="00DB6847">
        <w:rPr>
          <w:b/>
          <w:color w:val="auto"/>
          <w:szCs w:val="22"/>
          <w:lang w:val="fr-FR"/>
        </w:rPr>
        <w:lastRenderedPageBreak/>
        <w:t>La durée de validité des produits livrés doit être égale ou supérieure aux 2/3 de la validité totale pour les produits à péremption inférieure à un an et d’au moins un an pour les autres.</w:t>
      </w:r>
    </w:p>
    <w:p w:rsidR="003D22B0" w:rsidRDefault="003D22B0" w:rsidP="003D22B0">
      <w:pPr>
        <w:jc w:val="center"/>
        <w:rPr>
          <w:rFonts w:ascii="Arial" w:hAnsi="Arial" w:cs="Arial"/>
          <w:b/>
          <w:sz w:val="20"/>
          <w:szCs w:val="20"/>
        </w:rPr>
      </w:pPr>
    </w:p>
    <w:p w:rsidR="000D1C17" w:rsidRPr="000A5629" w:rsidRDefault="000D1C17" w:rsidP="000D1C17">
      <w:pPr>
        <w:pStyle w:val="Titre3"/>
        <w:keepNext/>
        <w:numPr>
          <w:ilvl w:val="1"/>
          <w:numId w:val="13"/>
        </w:numPr>
        <w:spacing w:before="240"/>
        <w:contextualSpacing w:val="0"/>
        <w:jc w:val="both"/>
        <w:rPr>
          <w:color w:val="365F91"/>
        </w:rPr>
      </w:pPr>
      <w:bookmarkStart w:id="6" w:name="_Hlk62383753"/>
      <w:bookmarkStart w:id="7" w:name="_Toc487446970"/>
      <w:bookmarkStart w:id="8" w:name="_Toc487447776"/>
      <w:r w:rsidRPr="000A5629">
        <w:rPr>
          <w:color w:val="365F91"/>
        </w:rPr>
        <w:t>Concernant les conditions d’entreposage et de transport</w:t>
      </w:r>
      <w:bookmarkEnd w:id="7"/>
      <w:bookmarkEnd w:id="8"/>
    </w:p>
    <w:p w:rsidR="003D22B0" w:rsidRPr="00DB6847" w:rsidRDefault="003D22B0" w:rsidP="003D22B0">
      <w:pPr>
        <w:tabs>
          <w:tab w:val="left" w:pos="2520"/>
        </w:tabs>
        <w:ind w:left="360"/>
        <w:jc w:val="both"/>
        <w:rPr>
          <w:bCs/>
          <w:sz w:val="22"/>
          <w:szCs w:val="22"/>
        </w:rPr>
      </w:pPr>
    </w:p>
    <w:p w:rsidR="003D22B0" w:rsidRPr="00DB6847" w:rsidRDefault="003D22B0" w:rsidP="003D22B0">
      <w:pPr>
        <w:tabs>
          <w:tab w:val="left" w:pos="2520"/>
        </w:tabs>
        <w:jc w:val="both"/>
        <w:rPr>
          <w:bCs/>
          <w:sz w:val="22"/>
          <w:szCs w:val="22"/>
        </w:rPr>
      </w:pPr>
      <w:r w:rsidRPr="00DB6847">
        <w:rPr>
          <w:bCs/>
          <w:sz w:val="22"/>
          <w:szCs w:val="22"/>
        </w:rPr>
        <w:t xml:space="preserve">Devront être conforme aux dispositions réglementaires de : </w:t>
      </w:r>
    </w:p>
    <w:p w:rsidR="003D22B0" w:rsidRPr="00DB6847" w:rsidRDefault="003D22B0" w:rsidP="003D22B0">
      <w:pPr>
        <w:tabs>
          <w:tab w:val="left" w:pos="2520"/>
        </w:tabs>
        <w:ind w:left="360"/>
        <w:jc w:val="both"/>
        <w:rPr>
          <w:bCs/>
          <w:sz w:val="22"/>
          <w:szCs w:val="22"/>
        </w:rPr>
      </w:pPr>
    </w:p>
    <w:p w:rsidR="0049744F" w:rsidRDefault="0049744F" w:rsidP="0049744F">
      <w:pPr>
        <w:pStyle w:val="Normal2"/>
        <w:numPr>
          <w:ilvl w:val="0"/>
          <w:numId w:val="7"/>
        </w:numPr>
        <w:rPr>
          <w:color w:val="auto"/>
          <w:szCs w:val="22"/>
          <w:lang w:val="fr-FR"/>
        </w:rPr>
      </w:pPr>
      <w:r w:rsidRPr="00DB6847">
        <w:rPr>
          <w:color w:val="auto"/>
          <w:szCs w:val="22"/>
          <w:lang w:val="fr-FR"/>
        </w:rPr>
        <w:t>L’arrêté ministériel du 20 juillet 1998 et sa version consolidée au 12/02/2015 fixant les conditions techniques et hygiéniques applicables au transport des aliments.</w:t>
      </w:r>
    </w:p>
    <w:p w:rsidR="003D22B0" w:rsidRPr="000D1C17" w:rsidRDefault="0049744F" w:rsidP="000D1C17">
      <w:pPr>
        <w:pStyle w:val="Normal2"/>
        <w:ind w:left="0" w:firstLine="0"/>
        <w:rPr>
          <w:color w:val="auto"/>
          <w:sz w:val="20"/>
          <w:szCs w:val="22"/>
          <w:lang w:val="fr-FR"/>
        </w:rPr>
      </w:pPr>
      <w:hyperlink r:id="rId11" w:history="1">
        <w:r w:rsidRPr="00F61F83">
          <w:rPr>
            <w:rStyle w:val="Lienhypertexte"/>
            <w:sz w:val="20"/>
            <w:szCs w:val="22"/>
            <w:lang w:val="fr-FR"/>
          </w:rPr>
          <w:t>https://www.legifrance.gouv.fr/loda/id/JORFTEXT000000193593</w:t>
        </w:r>
      </w:hyperlink>
      <w:r w:rsidRPr="00F61F83">
        <w:rPr>
          <w:color w:val="auto"/>
          <w:sz w:val="20"/>
          <w:szCs w:val="22"/>
          <w:lang w:val="fr-FR"/>
        </w:rPr>
        <w:t xml:space="preserve"> </w:t>
      </w:r>
    </w:p>
    <w:p w:rsidR="003D22B0" w:rsidRPr="00DB6847" w:rsidRDefault="003D22B0" w:rsidP="003D22B0">
      <w:pPr>
        <w:pStyle w:val="Normal2"/>
        <w:ind w:left="0" w:firstLine="0"/>
        <w:rPr>
          <w:b/>
          <w:color w:val="auto"/>
          <w:szCs w:val="22"/>
          <w:lang w:val="fr-FR"/>
        </w:rPr>
      </w:pPr>
      <w:r w:rsidRPr="00DB6847">
        <w:rPr>
          <w:b/>
          <w:color w:val="auto"/>
          <w:szCs w:val="22"/>
          <w:lang w:val="fr-FR"/>
        </w:rPr>
        <w:t>Les véhicules de livraison doivent être maintenus dans un parfait  état  de propreté. Les camions de livraison doivent être réfrigérants ou frigorifiques. Dans certains cas des véhicules isothermes pourront être tolérés. Les véhicules doivent être agréés. Les justificatifs relatifs à ces agréments</w:t>
      </w:r>
      <w:r w:rsidRPr="00DB6847">
        <w:rPr>
          <w:b/>
          <w:i/>
          <w:color w:val="auto"/>
          <w:szCs w:val="22"/>
          <w:lang w:val="fr-FR"/>
        </w:rPr>
        <w:t xml:space="preserve"> </w:t>
      </w:r>
      <w:r w:rsidRPr="00DB6847">
        <w:rPr>
          <w:b/>
          <w:color w:val="auto"/>
          <w:szCs w:val="22"/>
          <w:lang w:val="fr-FR"/>
        </w:rPr>
        <w:t>doivent être fournis à l’appui de l’annexe 3 du CCAP.</w:t>
      </w:r>
    </w:p>
    <w:p w:rsidR="003D22B0" w:rsidRPr="00DB6847" w:rsidRDefault="003D22B0" w:rsidP="003D22B0">
      <w:pPr>
        <w:pStyle w:val="Normal2"/>
        <w:ind w:left="0" w:firstLine="0"/>
        <w:rPr>
          <w:b/>
          <w:i/>
          <w:color w:val="auto"/>
          <w:szCs w:val="22"/>
          <w:lang w:val="fr-FR"/>
        </w:rPr>
      </w:pPr>
    </w:p>
    <w:p w:rsidR="0049744F" w:rsidRDefault="0049744F" w:rsidP="0049744F">
      <w:pPr>
        <w:pStyle w:val="Normal2"/>
        <w:numPr>
          <w:ilvl w:val="0"/>
          <w:numId w:val="7"/>
        </w:numPr>
        <w:rPr>
          <w:color w:val="auto"/>
          <w:szCs w:val="22"/>
          <w:lang w:val="fr-FR"/>
        </w:rPr>
      </w:pPr>
      <w:r w:rsidRPr="00DB6847">
        <w:rPr>
          <w:color w:val="auto"/>
          <w:szCs w:val="22"/>
          <w:lang w:val="fr-FR"/>
        </w:rPr>
        <w:t xml:space="preserve">Du décret 99-35 du 15 janvier 1999 (JO du 19 janvier) prenant en considération les dispositions des trois directives communautaires relatives à l’hygiène des denrées alimentaires et à leur transport : </w:t>
      </w:r>
      <w:r w:rsidRPr="00DB6847">
        <w:rPr>
          <w:b/>
          <w:color w:val="auto"/>
          <w:szCs w:val="22"/>
          <w:lang w:val="fr-FR"/>
        </w:rPr>
        <w:t>Directive C.E.E.</w:t>
      </w:r>
      <w:r w:rsidRPr="00DB6847">
        <w:rPr>
          <w:color w:val="auto"/>
          <w:szCs w:val="22"/>
          <w:lang w:val="fr-FR"/>
        </w:rPr>
        <w:t> : 93/43 du 14 juin 1993 et sa version rectifiée du 05/09/1995, 96/3 du 26 janvier 1996 et 98/28 du 29 avril 1998.</w:t>
      </w:r>
    </w:p>
    <w:p w:rsidR="003D22B0" w:rsidRPr="000D1C17" w:rsidRDefault="0049744F" w:rsidP="003D22B0">
      <w:pPr>
        <w:pStyle w:val="Normal2"/>
        <w:ind w:left="0" w:firstLine="0"/>
        <w:rPr>
          <w:color w:val="auto"/>
          <w:sz w:val="20"/>
          <w:szCs w:val="22"/>
          <w:lang w:val="fr-FR"/>
        </w:rPr>
      </w:pPr>
      <w:hyperlink r:id="rId12" w:history="1">
        <w:r w:rsidRPr="00F61F83">
          <w:rPr>
            <w:rStyle w:val="Lienhypertexte"/>
            <w:sz w:val="20"/>
            <w:szCs w:val="22"/>
            <w:lang w:val="fr-FR"/>
          </w:rPr>
          <w:t>https://www.legifrance.gouv.fr/jorf/id/JORFTEXT000000393027</w:t>
        </w:r>
      </w:hyperlink>
      <w:r w:rsidRPr="00F61F83">
        <w:rPr>
          <w:color w:val="auto"/>
          <w:sz w:val="20"/>
          <w:szCs w:val="22"/>
          <w:lang w:val="fr-FR"/>
        </w:rPr>
        <w:t xml:space="preserve"> </w:t>
      </w:r>
    </w:p>
    <w:p w:rsidR="003D22B0" w:rsidRDefault="003D22B0" w:rsidP="003D22B0">
      <w:pPr>
        <w:pStyle w:val="Normal2"/>
        <w:ind w:left="0" w:firstLine="0"/>
        <w:rPr>
          <w:b/>
          <w:color w:val="auto"/>
          <w:lang w:val="fr-FR"/>
        </w:rPr>
      </w:pPr>
      <w:r w:rsidRPr="00DB6847">
        <w:rPr>
          <w:b/>
          <w:color w:val="auto"/>
          <w:lang w:val="fr-FR"/>
        </w:rPr>
        <w:t xml:space="preserve">Le livreur devra porter une tenue adaptée à la manipulation de denrées et répondant aux normes d’hygiène conformément à celles énoncées dans le C.C.A.P. </w:t>
      </w:r>
    </w:p>
    <w:p w:rsidR="003D22B0" w:rsidRPr="00DB6847" w:rsidRDefault="003D22B0" w:rsidP="003D22B0">
      <w:pPr>
        <w:jc w:val="both"/>
        <w:rPr>
          <w:bCs/>
          <w:iCs/>
          <w:sz w:val="22"/>
          <w:szCs w:val="22"/>
        </w:rPr>
      </w:pPr>
    </w:p>
    <w:p w:rsidR="003D22B0" w:rsidRDefault="003D22B0" w:rsidP="003D22B0">
      <w:pPr>
        <w:pStyle w:val="Normal2"/>
        <w:ind w:left="0" w:firstLine="0"/>
        <w:rPr>
          <w:bCs/>
          <w:iCs/>
          <w:color w:val="auto"/>
          <w:szCs w:val="22"/>
          <w:lang w:val="fr-FR"/>
        </w:rPr>
      </w:pPr>
      <w:r w:rsidRPr="00DB6847">
        <w:rPr>
          <w:bCs/>
          <w:iCs/>
          <w:color w:val="auto"/>
          <w:szCs w:val="22"/>
          <w:lang w:val="fr-FR"/>
        </w:rPr>
        <w:t>Le contrôle de la température des engins doit pouvoir se faire aisément en consultant le thermomètre, placé de façon apparente, en général, à l’extérieur du véhicule. Il sera effectué à chaque livraison par le personnel qui réceptionne la marchandise</w:t>
      </w:r>
    </w:p>
    <w:p w:rsidR="003D22B0" w:rsidRDefault="003D22B0" w:rsidP="003D22B0">
      <w:pPr>
        <w:ind w:left="780"/>
        <w:jc w:val="both"/>
      </w:pPr>
    </w:p>
    <w:p w:rsidR="000D1C17" w:rsidRPr="009C4CB1" w:rsidRDefault="000D1C17" w:rsidP="000D1C17">
      <w:pPr>
        <w:pStyle w:val="Titre3"/>
        <w:keepNext/>
        <w:numPr>
          <w:ilvl w:val="1"/>
          <w:numId w:val="13"/>
        </w:numPr>
        <w:tabs>
          <w:tab w:val="left" w:pos="851"/>
        </w:tabs>
        <w:spacing w:before="240"/>
        <w:contextualSpacing w:val="0"/>
        <w:jc w:val="both"/>
        <w:rPr>
          <w:color w:val="365F91"/>
        </w:rPr>
      </w:pPr>
      <w:r w:rsidRPr="009C4CB1">
        <w:rPr>
          <w:color w:val="365F91"/>
        </w:rPr>
        <w:t xml:space="preserve">Admission de la </w:t>
      </w:r>
      <w:proofErr w:type="spellStart"/>
      <w:proofErr w:type="gramStart"/>
      <w:r w:rsidRPr="009C4CB1">
        <w:rPr>
          <w:color w:val="365F91"/>
        </w:rPr>
        <w:t>fourniture</w:t>
      </w:r>
      <w:proofErr w:type="spellEnd"/>
      <w:r w:rsidRPr="009C4CB1">
        <w:rPr>
          <w:color w:val="365F91"/>
        </w:rPr>
        <w:t> :</w:t>
      </w:r>
      <w:proofErr w:type="gramEnd"/>
    </w:p>
    <w:p w:rsidR="003D22B0" w:rsidRDefault="003D22B0" w:rsidP="003D22B0">
      <w:pPr>
        <w:jc w:val="both"/>
      </w:pPr>
      <w:r>
        <w:t xml:space="preserve">Des Vérification quantitatives et qualitatives pourront être </w:t>
      </w:r>
      <w:r w:rsidR="000D1C17">
        <w:t>effectuées</w:t>
      </w:r>
      <w:r>
        <w:t xml:space="preserve"> par l’acheteur.</w:t>
      </w:r>
    </w:p>
    <w:bookmarkEnd w:id="6"/>
    <w:p w:rsidR="00DC4356" w:rsidRDefault="00DC4356" w:rsidP="006A0BC6">
      <w:pPr>
        <w:autoSpaceDE w:val="0"/>
        <w:autoSpaceDN w:val="0"/>
        <w:adjustRightInd w:val="0"/>
        <w:jc w:val="both"/>
        <w:rPr>
          <w:rFonts w:eastAsia="Calibri"/>
          <w:b/>
          <w:sz w:val="22"/>
          <w:szCs w:val="22"/>
        </w:rPr>
      </w:pPr>
    </w:p>
    <w:p w:rsidR="006A0BC6" w:rsidRDefault="008D0A33" w:rsidP="006A0BC6">
      <w:pPr>
        <w:autoSpaceDE w:val="0"/>
        <w:autoSpaceDN w:val="0"/>
        <w:adjustRightInd w:val="0"/>
        <w:jc w:val="both"/>
        <w:rPr>
          <w:rFonts w:eastAsia="Calibri"/>
          <w:b/>
          <w:sz w:val="22"/>
          <w:szCs w:val="22"/>
        </w:rPr>
      </w:pPr>
      <w:r>
        <w:rPr>
          <w:rFonts w:eastAsia="Calibri"/>
          <w:b/>
          <w:sz w:val="22"/>
          <w:szCs w:val="22"/>
        </w:rPr>
        <w:t>L</w:t>
      </w:r>
      <w:r w:rsidR="006A0BC6" w:rsidRPr="00DB6847">
        <w:rPr>
          <w:rFonts w:eastAsia="Calibri"/>
          <w:b/>
          <w:sz w:val="22"/>
          <w:szCs w:val="22"/>
        </w:rPr>
        <w:t>a D.L.C. pour tous les produits d’épicerie devra être au minimum de 06 mois.</w:t>
      </w:r>
    </w:p>
    <w:p w:rsidR="005B5101" w:rsidRPr="00DB6847" w:rsidRDefault="005B5101" w:rsidP="006A0BC6">
      <w:pPr>
        <w:autoSpaceDE w:val="0"/>
        <w:autoSpaceDN w:val="0"/>
        <w:adjustRightInd w:val="0"/>
        <w:jc w:val="both"/>
        <w:rPr>
          <w:rFonts w:eastAsia="Calibri"/>
          <w:b/>
          <w:sz w:val="22"/>
          <w:szCs w:val="22"/>
        </w:rPr>
      </w:pPr>
    </w:p>
    <w:p w:rsidR="005B5101" w:rsidRPr="005B5101" w:rsidRDefault="005B5101" w:rsidP="005B5101">
      <w:pPr>
        <w:pStyle w:val="Titre3"/>
        <w:numPr>
          <w:ilvl w:val="0"/>
          <w:numId w:val="8"/>
        </w:numPr>
        <w:ind w:left="709" w:hanging="283"/>
        <w:rPr>
          <w:lang w:val="fr-FR"/>
        </w:rPr>
      </w:pPr>
      <w:r w:rsidRPr="005B5101">
        <w:rPr>
          <w:lang w:val="fr-FR"/>
        </w:rPr>
        <w:t>concernant l’</w:t>
      </w:r>
      <w:r w:rsidR="000D1C17" w:rsidRPr="005B5101">
        <w:rPr>
          <w:lang w:val="fr-FR"/>
        </w:rPr>
        <w:t>étiquetage</w:t>
      </w:r>
    </w:p>
    <w:p w:rsidR="005B5101" w:rsidRPr="00131C09" w:rsidRDefault="005B5101" w:rsidP="005B5101">
      <w:pPr>
        <w:pStyle w:val="Titre2"/>
        <w:ind w:left="567"/>
        <w:rPr>
          <w:sz w:val="22"/>
          <w:szCs w:val="22"/>
          <w:lang w:val="fr-FR"/>
        </w:rPr>
      </w:pPr>
    </w:p>
    <w:p w:rsidR="005B5101" w:rsidRPr="00F26241" w:rsidRDefault="005B5101" w:rsidP="005B5101">
      <w:pPr>
        <w:pStyle w:val="Normal2"/>
        <w:ind w:left="0" w:firstLine="0"/>
        <w:rPr>
          <w:b/>
          <w:color w:val="auto"/>
          <w:szCs w:val="22"/>
          <w:lang w:val="fr-FR"/>
        </w:rPr>
      </w:pPr>
      <w:r w:rsidRPr="00F26241">
        <w:rPr>
          <w:color w:val="auto"/>
          <w:szCs w:val="22"/>
          <w:lang w:val="fr-FR"/>
        </w:rPr>
        <w:t xml:space="preserve">Conformément au </w:t>
      </w:r>
      <w:r w:rsidRPr="00F26241">
        <w:rPr>
          <w:b/>
          <w:color w:val="auto"/>
          <w:szCs w:val="22"/>
          <w:lang w:val="fr-FR"/>
        </w:rPr>
        <w:t xml:space="preserve">Règlement N° 1169/2011 dit INCO publié au JOUE le 22 novembre 2011, </w:t>
      </w:r>
    </w:p>
    <w:p w:rsidR="005B5101" w:rsidRPr="00F26241" w:rsidRDefault="005B5101" w:rsidP="005B5101">
      <w:pPr>
        <w:pStyle w:val="Normal2"/>
        <w:ind w:left="0" w:firstLine="0"/>
        <w:rPr>
          <w:b/>
          <w:color w:val="auto"/>
          <w:szCs w:val="22"/>
          <w:lang w:val="fr-FR"/>
        </w:rPr>
      </w:pPr>
      <w:r w:rsidRPr="00F26241">
        <w:rPr>
          <w:b/>
          <w:color w:val="auto"/>
          <w:szCs w:val="22"/>
          <w:lang w:val="fr-FR"/>
        </w:rPr>
        <w:t xml:space="preserve">Deux grandes règles doivent être respectées : </w:t>
      </w:r>
    </w:p>
    <w:p w:rsidR="005B5101" w:rsidRPr="00F26241" w:rsidRDefault="005B5101" w:rsidP="005B5101">
      <w:pPr>
        <w:pStyle w:val="Normal2"/>
        <w:ind w:left="0" w:firstLine="0"/>
        <w:rPr>
          <w:b/>
          <w:color w:val="auto"/>
          <w:szCs w:val="22"/>
          <w:lang w:val="fr-FR"/>
        </w:rPr>
      </w:pPr>
    </w:p>
    <w:p w:rsidR="005B5101" w:rsidRPr="00F26241" w:rsidRDefault="005B5101" w:rsidP="005B5101">
      <w:pPr>
        <w:pStyle w:val="Normal2"/>
        <w:numPr>
          <w:ilvl w:val="0"/>
          <w:numId w:val="10"/>
        </w:numPr>
        <w:ind w:left="567" w:hanging="153"/>
        <w:rPr>
          <w:color w:val="auto"/>
          <w:szCs w:val="22"/>
          <w:lang w:val="fr-FR"/>
        </w:rPr>
      </w:pPr>
      <w:r w:rsidRPr="00F26241">
        <w:rPr>
          <w:color w:val="auto"/>
          <w:szCs w:val="22"/>
          <w:lang w:val="fr-FR"/>
        </w:rPr>
        <w:t xml:space="preserve">L’étiquetage doit faire figurer diverses informations qui renseignent objectivement le consommateur. Elles doivent être rédigées au moins </w:t>
      </w:r>
      <w:r w:rsidRPr="00F26241">
        <w:rPr>
          <w:b/>
          <w:color w:val="auto"/>
          <w:szCs w:val="22"/>
          <w:lang w:val="fr-FR"/>
        </w:rPr>
        <w:t>en français</w:t>
      </w:r>
      <w:r w:rsidRPr="00F26241">
        <w:rPr>
          <w:color w:val="auto"/>
          <w:szCs w:val="22"/>
          <w:lang w:val="fr-FR"/>
        </w:rPr>
        <w:t xml:space="preserve"> ;</w:t>
      </w:r>
    </w:p>
    <w:p w:rsidR="000D1C17" w:rsidRDefault="005B5101" w:rsidP="000D1C17">
      <w:pPr>
        <w:pStyle w:val="Normal2"/>
        <w:numPr>
          <w:ilvl w:val="0"/>
          <w:numId w:val="10"/>
        </w:numPr>
        <w:ind w:left="0" w:firstLine="0"/>
        <w:rPr>
          <w:b/>
          <w:color w:val="auto"/>
          <w:szCs w:val="22"/>
          <w:lang w:val="fr-FR"/>
        </w:rPr>
      </w:pPr>
      <w:r w:rsidRPr="000D1C17">
        <w:rPr>
          <w:color w:val="auto"/>
          <w:szCs w:val="22"/>
          <w:lang w:val="fr-FR"/>
        </w:rPr>
        <w:t xml:space="preserve"> L’étiquetage doit être loyal et précis ; il ne doit pas induire le consommateur en erreur (composition du produit, origine, etc.).</w:t>
      </w:r>
    </w:p>
    <w:p w:rsidR="000D1C17" w:rsidRPr="000D1C17" w:rsidRDefault="000D1C17" w:rsidP="000D1C17">
      <w:pPr>
        <w:rPr>
          <w:rStyle w:val="Accentuation"/>
        </w:rPr>
      </w:pPr>
    </w:p>
    <w:p w:rsidR="005B5101" w:rsidRPr="000D1C17" w:rsidRDefault="005B5101" w:rsidP="005B5101">
      <w:pPr>
        <w:pStyle w:val="Normal2"/>
        <w:numPr>
          <w:ilvl w:val="0"/>
          <w:numId w:val="10"/>
        </w:numPr>
        <w:ind w:left="0" w:firstLine="0"/>
        <w:rPr>
          <w:b/>
          <w:color w:val="auto"/>
          <w:szCs w:val="22"/>
          <w:lang w:val="fr-FR"/>
        </w:rPr>
      </w:pPr>
      <w:r w:rsidRPr="000D1C17">
        <w:rPr>
          <w:b/>
          <w:color w:val="auto"/>
          <w:szCs w:val="22"/>
          <w:lang w:val="fr-FR"/>
        </w:rPr>
        <w:t>Les mentions obligatoires devant figurer sur les produits préemballés sont :</w:t>
      </w:r>
    </w:p>
    <w:p w:rsidR="005B5101" w:rsidRPr="00F26241" w:rsidRDefault="005B5101" w:rsidP="005B5101">
      <w:pPr>
        <w:pStyle w:val="Normal2"/>
        <w:ind w:left="0" w:firstLine="0"/>
        <w:rPr>
          <w:color w:val="auto"/>
          <w:szCs w:val="22"/>
          <w:lang w:val="fr-FR"/>
        </w:rPr>
      </w:pPr>
    </w:p>
    <w:p w:rsidR="005B5101" w:rsidRPr="00F26241" w:rsidRDefault="005B5101" w:rsidP="005B5101">
      <w:pPr>
        <w:pStyle w:val="Normal2"/>
        <w:numPr>
          <w:ilvl w:val="0"/>
          <w:numId w:val="11"/>
        </w:numPr>
        <w:tabs>
          <w:tab w:val="clear" w:pos="567"/>
          <w:tab w:val="clear" w:pos="851"/>
          <w:tab w:val="clear" w:pos="1134"/>
        </w:tabs>
        <w:ind w:left="567" w:hanging="141"/>
        <w:rPr>
          <w:color w:val="auto"/>
          <w:szCs w:val="22"/>
          <w:lang w:val="fr-FR"/>
        </w:rPr>
      </w:pPr>
      <w:r w:rsidRPr="00F26241">
        <w:rPr>
          <w:color w:val="auto"/>
          <w:szCs w:val="22"/>
          <w:lang w:val="fr-FR"/>
        </w:rPr>
        <w:t>la dénomination de vente qui définit le produit;</w:t>
      </w:r>
    </w:p>
    <w:p w:rsidR="005B5101" w:rsidRPr="00F26241" w:rsidRDefault="005B5101" w:rsidP="005B5101">
      <w:pPr>
        <w:pStyle w:val="Normal2"/>
        <w:numPr>
          <w:ilvl w:val="0"/>
          <w:numId w:val="11"/>
        </w:numPr>
        <w:tabs>
          <w:tab w:val="clear" w:pos="567"/>
          <w:tab w:val="clear" w:pos="851"/>
          <w:tab w:val="clear" w:pos="1134"/>
        </w:tabs>
        <w:ind w:left="567" w:hanging="141"/>
        <w:rPr>
          <w:color w:val="auto"/>
          <w:szCs w:val="22"/>
          <w:lang w:val="fr-FR"/>
        </w:rPr>
      </w:pPr>
      <w:r w:rsidRPr="00F26241">
        <w:rPr>
          <w:color w:val="auto"/>
          <w:szCs w:val="22"/>
          <w:lang w:val="fr-FR"/>
        </w:rPr>
        <w:t>l'origine ;</w:t>
      </w:r>
    </w:p>
    <w:p w:rsidR="005B5101" w:rsidRPr="00DB6847" w:rsidRDefault="005B5101" w:rsidP="005B5101">
      <w:pPr>
        <w:pStyle w:val="Normal2"/>
        <w:numPr>
          <w:ilvl w:val="0"/>
          <w:numId w:val="12"/>
        </w:numPr>
        <w:tabs>
          <w:tab w:val="clear" w:pos="567"/>
          <w:tab w:val="clear" w:pos="851"/>
          <w:tab w:val="clear" w:pos="1134"/>
        </w:tabs>
        <w:ind w:left="567" w:hanging="141"/>
        <w:rPr>
          <w:color w:val="auto"/>
          <w:lang w:val="fr-FR"/>
        </w:rPr>
      </w:pPr>
      <w:r w:rsidRPr="00DB6847">
        <w:rPr>
          <w:color w:val="auto"/>
          <w:lang w:val="fr-FR"/>
        </w:rPr>
        <w:t xml:space="preserve"> la liste des ingrédients mis en œuvre par ordre d'importance décroissante. Les ingrédients allergènes doivent être mis en relief ;</w:t>
      </w:r>
    </w:p>
    <w:p w:rsidR="005B5101" w:rsidRPr="00DB6847" w:rsidRDefault="005B5101" w:rsidP="005B5101">
      <w:pPr>
        <w:pStyle w:val="Normal2"/>
        <w:numPr>
          <w:ilvl w:val="0"/>
          <w:numId w:val="12"/>
        </w:numPr>
        <w:tabs>
          <w:tab w:val="clear" w:pos="567"/>
          <w:tab w:val="clear" w:pos="851"/>
          <w:tab w:val="clear" w:pos="1134"/>
        </w:tabs>
        <w:ind w:left="567" w:hanging="141"/>
        <w:rPr>
          <w:color w:val="auto"/>
          <w:lang w:val="fr-FR"/>
        </w:rPr>
      </w:pPr>
      <w:r w:rsidRPr="00DB6847">
        <w:rPr>
          <w:color w:val="auto"/>
          <w:lang w:val="fr-FR"/>
        </w:rPr>
        <w:t xml:space="preserve"> la quantité de certains ingrédients, par exemple ceux mis en valeur sur l'étiquetage ou dans la dénomination de vente</w:t>
      </w:r>
      <w:r>
        <w:rPr>
          <w:color w:val="auto"/>
          <w:lang w:val="fr-FR"/>
        </w:rPr>
        <w:t xml:space="preserve"> </w:t>
      </w:r>
      <w:r w:rsidRPr="00DB6847">
        <w:rPr>
          <w:color w:val="auto"/>
          <w:lang w:val="fr-FR"/>
        </w:rPr>
        <w:t>;</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DB6847">
        <w:rPr>
          <w:color w:val="auto"/>
          <w:lang w:val="fr-FR"/>
        </w:rPr>
        <w:t xml:space="preserve"> </w:t>
      </w:r>
      <w:r w:rsidRPr="00994A82">
        <w:rPr>
          <w:color w:val="auto"/>
          <w:szCs w:val="22"/>
          <w:lang w:val="fr-FR"/>
        </w:rPr>
        <w:t>la quantité nette du produit en volume (produit liquide) ou masse (autres produits). Si le produit est présenté dans un liquide, indication du poids net égoutté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 xml:space="preserve">la date de consommation pour les denrées périssables : Date Limite de Consommation (DLC)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le titre alcoométrique volumique acquis pour les boissons titrant plus de 1,2% d’alcool en volume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 xml:space="preserve">l'identification de l’opérateur sous le nom duquel la denrée est commercialisée. </w:t>
      </w:r>
      <w:r w:rsidRPr="00994A82">
        <w:rPr>
          <w:b/>
          <w:color w:val="auto"/>
          <w:szCs w:val="22"/>
          <w:lang w:val="fr-FR"/>
        </w:rPr>
        <w:t>Il doit être implanté dans l’Union Européenne</w:t>
      </w:r>
      <w:r w:rsidRPr="00994A82">
        <w:rPr>
          <w:color w:val="auto"/>
          <w:szCs w:val="22"/>
          <w:lang w:val="fr-FR"/>
        </w:rPr>
        <w:t xml:space="preserve">. Si conditionnement par un prestataire, indiquer les coordonnées du centre d'emballage (précédé de « </w:t>
      </w:r>
      <w:proofErr w:type="spellStart"/>
      <w:r w:rsidRPr="00994A82">
        <w:rPr>
          <w:color w:val="auto"/>
          <w:szCs w:val="22"/>
          <w:lang w:val="fr-FR"/>
        </w:rPr>
        <w:t>emb</w:t>
      </w:r>
      <w:proofErr w:type="spellEnd"/>
      <w:r w:rsidRPr="00994A82">
        <w:rPr>
          <w:color w:val="auto"/>
          <w:szCs w:val="22"/>
          <w:lang w:val="fr-FR"/>
        </w:rPr>
        <w:t xml:space="preserve"> » (ex. : EMB A07555))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le numéro du lot de fabrication, à des fins de traçabilité. En revanche, la dénomination du lot est libre (ex.: lot 0607)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le mode d'emploi, si la denrée nécessite un usage approprié ou une conservation spécifique (ex. : à conserver dans un endroit sec) ;</w:t>
      </w:r>
    </w:p>
    <w:p w:rsidR="005B5101" w:rsidRPr="00994A82" w:rsidRDefault="005B5101" w:rsidP="005B5101">
      <w:pPr>
        <w:pStyle w:val="Normal2"/>
        <w:numPr>
          <w:ilvl w:val="0"/>
          <w:numId w:val="12"/>
        </w:numPr>
        <w:tabs>
          <w:tab w:val="clear" w:pos="567"/>
          <w:tab w:val="clear" w:pos="851"/>
          <w:tab w:val="clear" w:pos="1134"/>
        </w:tabs>
        <w:ind w:left="567" w:hanging="141"/>
        <w:rPr>
          <w:color w:val="auto"/>
          <w:szCs w:val="22"/>
          <w:lang w:val="fr-FR"/>
        </w:rPr>
      </w:pPr>
      <w:r w:rsidRPr="00994A82">
        <w:rPr>
          <w:color w:val="auto"/>
          <w:szCs w:val="22"/>
          <w:lang w:val="fr-FR"/>
        </w:rPr>
        <w:t>la déclaration nutritionnelle (obligatoire à compter du 13 décembre 2016)</w:t>
      </w:r>
    </w:p>
    <w:p w:rsidR="006A0BC6" w:rsidRPr="00DB6847" w:rsidRDefault="006A0BC6" w:rsidP="006A0BC6">
      <w:pPr>
        <w:autoSpaceDE w:val="0"/>
        <w:autoSpaceDN w:val="0"/>
        <w:adjustRightInd w:val="0"/>
        <w:jc w:val="both"/>
        <w:rPr>
          <w:rFonts w:eastAsia="Calibri"/>
          <w:b/>
          <w:sz w:val="22"/>
          <w:szCs w:val="22"/>
          <w:u w:val="single"/>
        </w:rPr>
      </w:pPr>
    </w:p>
    <w:p w:rsidR="00922A6A" w:rsidRDefault="00922A6A" w:rsidP="006A0BC6">
      <w:pPr>
        <w:jc w:val="both"/>
        <w:rPr>
          <w:sz w:val="22"/>
          <w:szCs w:val="22"/>
        </w:rPr>
      </w:pPr>
    </w:p>
    <w:p w:rsidR="00DC4356" w:rsidRPr="00DC4356" w:rsidRDefault="00921231" w:rsidP="00921231">
      <w:pPr>
        <w:pStyle w:val="Titre2"/>
        <w:shd w:val="clear" w:color="auto" w:fill="B8CCE4" w:themeFill="accent1" w:themeFillTint="66"/>
        <w:ind w:left="0"/>
        <w:rPr>
          <w:bCs/>
          <w:i/>
          <w:iCs/>
          <w:lang w:val="fr-FR"/>
        </w:rPr>
      </w:pPr>
      <w:bookmarkStart w:id="9" w:name="_Toc487446984"/>
      <w:bookmarkStart w:id="10" w:name="_Toc487447790"/>
      <w:r>
        <w:rPr>
          <w:bCs/>
          <w:i/>
          <w:iCs/>
          <w:lang w:val="fr-FR"/>
        </w:rPr>
        <w:t>2.</w:t>
      </w:r>
      <w:r w:rsidR="003D22B0" w:rsidRPr="00DC4356">
        <w:rPr>
          <w:bCs/>
          <w:i/>
          <w:iCs/>
          <w:lang w:val="fr-FR"/>
        </w:rPr>
        <w:t xml:space="preserve">spécifications </w:t>
      </w:r>
      <w:r w:rsidR="000201E9">
        <w:rPr>
          <w:bCs/>
          <w:i/>
          <w:iCs/>
          <w:lang w:val="fr-FR"/>
        </w:rPr>
        <w:t>particulières</w:t>
      </w:r>
    </w:p>
    <w:p w:rsidR="00DC4356" w:rsidRDefault="00DC4356" w:rsidP="003D22B0">
      <w:pPr>
        <w:pStyle w:val="Titre3"/>
        <w:ind w:left="0"/>
        <w:rPr>
          <w:lang w:val="fr-FR"/>
        </w:rPr>
      </w:pPr>
    </w:p>
    <w:p w:rsidR="006A0BC6" w:rsidRPr="00DB6847" w:rsidRDefault="003D22B0" w:rsidP="000D1C17">
      <w:pPr>
        <w:pStyle w:val="Titre3"/>
        <w:numPr>
          <w:ilvl w:val="1"/>
          <w:numId w:val="15"/>
        </w:numPr>
        <w:rPr>
          <w:lang w:val="fr-FR"/>
        </w:rPr>
      </w:pPr>
      <w:r>
        <w:rPr>
          <w:lang w:val="fr-FR"/>
        </w:rPr>
        <w:t>c</w:t>
      </w:r>
      <w:r w:rsidR="006A0BC6" w:rsidRPr="00DB6847">
        <w:rPr>
          <w:lang w:val="fr-FR"/>
        </w:rPr>
        <w:t>ondiments et assaisonnement</w:t>
      </w:r>
      <w:bookmarkEnd w:id="9"/>
      <w:bookmarkEnd w:id="10"/>
    </w:p>
    <w:p w:rsidR="006A0BC6" w:rsidRPr="00DB6847" w:rsidRDefault="006A0BC6" w:rsidP="006A0BC6">
      <w:pPr>
        <w:pStyle w:val="Titre3"/>
        <w:rPr>
          <w:color w:val="auto"/>
          <w:lang w:val="fr-FR"/>
        </w:rPr>
      </w:pPr>
    </w:p>
    <w:p w:rsidR="006A0BC6" w:rsidRPr="00DB6847" w:rsidRDefault="006A0BC6" w:rsidP="006A0BC6">
      <w:pPr>
        <w:pStyle w:val="Paragraphedeliste"/>
        <w:numPr>
          <w:ilvl w:val="0"/>
          <w:numId w:val="3"/>
        </w:numPr>
        <w:jc w:val="both"/>
        <w:rPr>
          <w:color w:val="auto"/>
          <w:sz w:val="22"/>
          <w:szCs w:val="22"/>
          <w:lang w:val="fr-FR"/>
        </w:rPr>
      </w:pPr>
      <w:r w:rsidRPr="00DB6847">
        <w:rPr>
          <w:b/>
          <w:color w:val="auto"/>
          <w:sz w:val="22"/>
          <w:szCs w:val="22"/>
          <w:lang w:val="fr-FR"/>
        </w:rPr>
        <w:t>Vinaigre </w:t>
      </w:r>
    </w:p>
    <w:p w:rsidR="006A0BC6" w:rsidRPr="00DB6847" w:rsidRDefault="006A0BC6" w:rsidP="006A0BC6">
      <w:pPr>
        <w:jc w:val="both"/>
        <w:rPr>
          <w:sz w:val="22"/>
          <w:szCs w:val="22"/>
        </w:rPr>
      </w:pPr>
      <w:r w:rsidRPr="00DB6847">
        <w:rPr>
          <w:sz w:val="22"/>
          <w:szCs w:val="22"/>
        </w:rPr>
        <w:t>Il devra avoir un degré minimum d’alcool de 6 % Vol.</w:t>
      </w:r>
    </w:p>
    <w:p w:rsidR="006A0BC6" w:rsidRPr="00DB6847" w:rsidRDefault="006A0BC6" w:rsidP="006A0BC6">
      <w:pPr>
        <w:pStyle w:val="Paragraphedeliste"/>
        <w:numPr>
          <w:ilvl w:val="0"/>
          <w:numId w:val="3"/>
        </w:numPr>
        <w:jc w:val="both"/>
        <w:rPr>
          <w:color w:val="auto"/>
          <w:sz w:val="22"/>
          <w:szCs w:val="22"/>
          <w:lang w:val="fr-FR"/>
        </w:rPr>
      </w:pPr>
      <w:r w:rsidRPr="00DB6847">
        <w:rPr>
          <w:b/>
          <w:color w:val="auto"/>
          <w:sz w:val="22"/>
          <w:szCs w:val="22"/>
          <w:lang w:val="fr-FR"/>
        </w:rPr>
        <w:t>Mayonnaise</w:t>
      </w:r>
      <w:r w:rsidRPr="00DB6847">
        <w:rPr>
          <w:color w:val="auto"/>
          <w:sz w:val="22"/>
          <w:szCs w:val="22"/>
          <w:lang w:val="fr-FR"/>
        </w:rPr>
        <w:t> </w:t>
      </w:r>
    </w:p>
    <w:p w:rsidR="006A0BC6" w:rsidRPr="00DB6847" w:rsidRDefault="006A0BC6" w:rsidP="006A0BC6">
      <w:pPr>
        <w:jc w:val="both"/>
        <w:rPr>
          <w:sz w:val="22"/>
          <w:szCs w:val="22"/>
        </w:rPr>
      </w:pPr>
      <w:r w:rsidRPr="00DB6847">
        <w:rPr>
          <w:sz w:val="22"/>
          <w:szCs w:val="22"/>
        </w:rPr>
        <w:t xml:space="preserve">Le produit répondra aux critères définis par le Code National de Fabrication (code fabrication des mayonnaises)) élaboré par les professionnels (FICF). </w:t>
      </w:r>
    </w:p>
    <w:p w:rsidR="006A0BC6" w:rsidRPr="00DB6847" w:rsidRDefault="006A0BC6" w:rsidP="006A0BC6">
      <w:pPr>
        <w:jc w:val="both"/>
        <w:rPr>
          <w:sz w:val="22"/>
          <w:szCs w:val="22"/>
        </w:rPr>
      </w:pPr>
      <w:r w:rsidRPr="00DB6847">
        <w:rPr>
          <w:sz w:val="22"/>
          <w:szCs w:val="22"/>
        </w:rPr>
        <w:t xml:space="preserve">Les huiles qui rentrent dans la composition de la mayonnaise ou de la vinaigrette seront conformes aux spécifications du G.E.M.R.C.N. </w:t>
      </w:r>
    </w:p>
    <w:p w:rsidR="006A0BC6" w:rsidRPr="00DB6847" w:rsidRDefault="006A0BC6" w:rsidP="006A0BC6">
      <w:pPr>
        <w:pStyle w:val="Paragraphedeliste"/>
        <w:numPr>
          <w:ilvl w:val="0"/>
          <w:numId w:val="3"/>
        </w:numPr>
        <w:jc w:val="both"/>
        <w:rPr>
          <w:color w:val="auto"/>
          <w:sz w:val="22"/>
          <w:szCs w:val="22"/>
          <w:lang w:val="fr-FR"/>
        </w:rPr>
      </w:pPr>
      <w:r w:rsidRPr="00DB6847">
        <w:rPr>
          <w:b/>
          <w:color w:val="auto"/>
          <w:sz w:val="22"/>
          <w:szCs w:val="22"/>
          <w:lang w:val="fr-FR"/>
        </w:rPr>
        <w:t>Moutarde </w:t>
      </w:r>
    </w:p>
    <w:p w:rsidR="00141851" w:rsidRDefault="000D1C17" w:rsidP="006A0BC6">
      <w:pPr>
        <w:jc w:val="both"/>
        <w:rPr>
          <w:sz w:val="22"/>
          <w:szCs w:val="22"/>
        </w:rPr>
      </w:pPr>
      <w:r>
        <w:rPr>
          <w:sz w:val="22"/>
          <w:szCs w:val="22"/>
        </w:rPr>
        <w:t>Sa</w:t>
      </w:r>
      <w:r w:rsidR="006A0BC6" w:rsidRPr="00DB6847">
        <w:rPr>
          <w:sz w:val="22"/>
          <w:szCs w:val="22"/>
        </w:rPr>
        <w:t xml:space="preserve"> teneur en extrait sec ne doit pas être inférieure à 2</w:t>
      </w:r>
      <w:r>
        <w:rPr>
          <w:sz w:val="22"/>
          <w:szCs w:val="22"/>
        </w:rPr>
        <w:t>8 %. Elle sera d’un jaune clair</w:t>
      </w:r>
      <w:r w:rsidR="006A0BC6" w:rsidRPr="00DB6847">
        <w:rPr>
          <w:sz w:val="22"/>
          <w:szCs w:val="22"/>
        </w:rPr>
        <w:t xml:space="preserve"> et d’odeur caractéristique « forte », franche.</w:t>
      </w:r>
    </w:p>
    <w:p w:rsidR="000D1C17" w:rsidRDefault="000D1C17" w:rsidP="006A0BC6">
      <w:pPr>
        <w:jc w:val="both"/>
        <w:rPr>
          <w:sz w:val="22"/>
          <w:szCs w:val="22"/>
        </w:rPr>
      </w:pPr>
      <w:r w:rsidRPr="00DB6847">
        <w:rPr>
          <w:sz w:val="22"/>
          <w:szCs w:val="22"/>
        </w:rPr>
        <w:t>L’ouverture des sachets dosettes doit être facile (vinaigrette, moutarde).</w:t>
      </w:r>
    </w:p>
    <w:p w:rsidR="006A0BC6" w:rsidRPr="00DB6847" w:rsidRDefault="003D22B0" w:rsidP="00DC4356">
      <w:pPr>
        <w:pStyle w:val="Titre3"/>
        <w:numPr>
          <w:ilvl w:val="0"/>
          <w:numId w:val="9"/>
        </w:numPr>
        <w:rPr>
          <w:lang w:val="fr-FR"/>
        </w:rPr>
      </w:pPr>
      <w:bookmarkStart w:id="11" w:name="_Toc487446985"/>
      <w:bookmarkStart w:id="12" w:name="_Toc487447791"/>
      <w:r>
        <w:rPr>
          <w:lang w:val="fr-FR"/>
        </w:rPr>
        <w:t>les h</w:t>
      </w:r>
      <w:r w:rsidR="006A0BC6" w:rsidRPr="00DB6847">
        <w:rPr>
          <w:lang w:val="fr-FR"/>
        </w:rPr>
        <w:t>uiles végétales à usage alimentaire</w:t>
      </w:r>
      <w:bookmarkEnd w:id="11"/>
      <w:bookmarkEnd w:id="12"/>
    </w:p>
    <w:p w:rsidR="006A0BC6" w:rsidRPr="00DB6847" w:rsidRDefault="006A0BC6" w:rsidP="006A0BC6">
      <w:pPr>
        <w:jc w:val="both"/>
      </w:pPr>
    </w:p>
    <w:p w:rsidR="006A0BC6" w:rsidRPr="00DB6847" w:rsidRDefault="006A0BC6" w:rsidP="006A0BC6">
      <w:pPr>
        <w:pStyle w:val="Paragraphedeliste"/>
        <w:numPr>
          <w:ilvl w:val="0"/>
          <w:numId w:val="4"/>
        </w:numPr>
        <w:jc w:val="both"/>
        <w:rPr>
          <w:color w:val="auto"/>
          <w:sz w:val="22"/>
          <w:szCs w:val="22"/>
          <w:lang w:val="fr-FR"/>
        </w:rPr>
      </w:pPr>
      <w:r w:rsidRPr="00DB6847">
        <w:rPr>
          <w:b/>
          <w:color w:val="auto"/>
          <w:sz w:val="22"/>
          <w:szCs w:val="22"/>
          <w:lang w:val="fr-FR"/>
        </w:rPr>
        <w:t>L’huile de tournesol</w:t>
      </w:r>
      <w:r w:rsidRPr="00DB6847">
        <w:rPr>
          <w:color w:val="auto"/>
          <w:sz w:val="22"/>
          <w:szCs w:val="22"/>
          <w:lang w:val="fr-FR"/>
        </w:rPr>
        <w:t xml:space="preserve">  </w:t>
      </w:r>
    </w:p>
    <w:p w:rsidR="006A0BC6" w:rsidRPr="00DB6847" w:rsidRDefault="006A0BC6" w:rsidP="006A0BC6">
      <w:pPr>
        <w:jc w:val="both"/>
        <w:rPr>
          <w:sz w:val="22"/>
          <w:szCs w:val="22"/>
        </w:rPr>
      </w:pPr>
      <w:r w:rsidRPr="00DB6847">
        <w:rPr>
          <w:sz w:val="22"/>
          <w:szCs w:val="22"/>
        </w:rPr>
        <w:t>Elle sera exclusivement végétale (100 % tournesol)</w:t>
      </w:r>
    </w:p>
    <w:p w:rsidR="006A0BC6" w:rsidRPr="00DB6847" w:rsidRDefault="006A0BC6" w:rsidP="006A0BC6">
      <w:pPr>
        <w:jc w:val="both"/>
        <w:rPr>
          <w:sz w:val="22"/>
          <w:szCs w:val="22"/>
        </w:rPr>
      </w:pPr>
    </w:p>
    <w:p w:rsidR="006A0BC6" w:rsidRPr="00DB6847" w:rsidRDefault="006A0BC6" w:rsidP="006A0BC6">
      <w:pPr>
        <w:pStyle w:val="Paragraphedeliste"/>
        <w:numPr>
          <w:ilvl w:val="0"/>
          <w:numId w:val="5"/>
        </w:numPr>
        <w:jc w:val="both"/>
        <w:rPr>
          <w:color w:val="auto"/>
          <w:sz w:val="22"/>
          <w:szCs w:val="22"/>
          <w:lang w:val="fr-FR"/>
        </w:rPr>
      </w:pPr>
      <w:r w:rsidRPr="00DB6847">
        <w:rPr>
          <w:b/>
          <w:color w:val="auto"/>
          <w:sz w:val="22"/>
          <w:szCs w:val="22"/>
          <w:lang w:val="fr-FR"/>
        </w:rPr>
        <w:lastRenderedPageBreak/>
        <w:t>L’huile d’olive</w:t>
      </w:r>
      <w:r w:rsidRPr="00DB6847">
        <w:rPr>
          <w:color w:val="auto"/>
          <w:sz w:val="22"/>
          <w:szCs w:val="22"/>
          <w:lang w:val="fr-FR"/>
        </w:rPr>
        <w:t xml:space="preserve"> </w:t>
      </w:r>
    </w:p>
    <w:p w:rsidR="006A0BC6" w:rsidRPr="00DB6847" w:rsidRDefault="006A0BC6" w:rsidP="006A0BC6">
      <w:pPr>
        <w:jc w:val="both"/>
        <w:rPr>
          <w:sz w:val="22"/>
          <w:szCs w:val="22"/>
        </w:rPr>
      </w:pPr>
      <w:r w:rsidRPr="00DB6847">
        <w:rPr>
          <w:sz w:val="22"/>
          <w:szCs w:val="22"/>
        </w:rPr>
        <w:t>Elle sera qualifiée de vierge, 1</w:t>
      </w:r>
      <w:r w:rsidRPr="00DB6847">
        <w:rPr>
          <w:sz w:val="22"/>
          <w:szCs w:val="22"/>
          <w:vertAlign w:val="superscript"/>
        </w:rPr>
        <w:t>ière</w:t>
      </w:r>
      <w:r w:rsidRPr="00DB6847">
        <w:rPr>
          <w:sz w:val="22"/>
          <w:szCs w:val="22"/>
        </w:rPr>
        <w:t xml:space="preserve"> pression à froid. Les produits livrés devront pouvoir être stockés au moins six mois sans que la date limite conseillée pour son utilisation soit atteinte.</w:t>
      </w:r>
    </w:p>
    <w:p w:rsidR="006A0BC6" w:rsidRPr="00DB6847" w:rsidRDefault="006A0BC6" w:rsidP="006A0BC6">
      <w:pPr>
        <w:jc w:val="both"/>
        <w:rPr>
          <w:b/>
          <w:sz w:val="22"/>
          <w:szCs w:val="22"/>
        </w:rPr>
      </w:pPr>
    </w:p>
    <w:p w:rsidR="006A0BC6" w:rsidRPr="00DB6847" w:rsidRDefault="006A0BC6" w:rsidP="006A0BC6">
      <w:pPr>
        <w:pStyle w:val="Paragraphedeliste"/>
        <w:numPr>
          <w:ilvl w:val="0"/>
          <w:numId w:val="3"/>
        </w:numPr>
        <w:jc w:val="both"/>
        <w:rPr>
          <w:color w:val="auto"/>
          <w:sz w:val="22"/>
          <w:szCs w:val="22"/>
          <w:lang w:val="fr-FR"/>
        </w:rPr>
      </w:pPr>
      <w:r w:rsidRPr="00DB6847">
        <w:rPr>
          <w:b/>
          <w:color w:val="auto"/>
          <w:sz w:val="22"/>
          <w:szCs w:val="22"/>
          <w:lang w:val="fr-FR"/>
        </w:rPr>
        <w:t>L’huile de friture</w:t>
      </w:r>
      <w:r w:rsidRPr="00DB6847">
        <w:rPr>
          <w:color w:val="auto"/>
          <w:sz w:val="22"/>
          <w:szCs w:val="22"/>
          <w:lang w:val="fr-FR"/>
        </w:rPr>
        <w:t xml:space="preserve"> </w:t>
      </w:r>
    </w:p>
    <w:p w:rsidR="006A0BC6" w:rsidRPr="00DB6847" w:rsidRDefault="006A0BC6" w:rsidP="006A0BC6">
      <w:pPr>
        <w:jc w:val="both"/>
        <w:rPr>
          <w:sz w:val="22"/>
          <w:szCs w:val="22"/>
        </w:rPr>
      </w:pPr>
      <w:r w:rsidRPr="00DB6847">
        <w:rPr>
          <w:sz w:val="22"/>
          <w:szCs w:val="22"/>
        </w:rPr>
        <w:t>Elle sera conforme à la réglementation en vigueur. Sa résistance à la chauffe et sa longévité seront clairement décrites sur les fiches techniques qui préciseront le taux d’acides gras saturés, mono-insaturés, et poly-insaturés.</w:t>
      </w:r>
    </w:p>
    <w:p w:rsidR="006A0BC6" w:rsidRPr="00DB6847" w:rsidRDefault="006A0BC6" w:rsidP="006A0BC6">
      <w:pPr>
        <w:jc w:val="both"/>
        <w:rPr>
          <w:sz w:val="22"/>
          <w:szCs w:val="22"/>
        </w:rPr>
      </w:pPr>
      <w:r w:rsidRPr="00DB6847">
        <w:rPr>
          <w:sz w:val="22"/>
          <w:szCs w:val="22"/>
        </w:rPr>
        <w:t>L’huile de friture (C3-4) sera exclusivement pur tournesol.</w:t>
      </w:r>
    </w:p>
    <w:p w:rsidR="006A0BC6" w:rsidRPr="00DB6847" w:rsidRDefault="006A0BC6" w:rsidP="006A0BC6">
      <w:pPr>
        <w:jc w:val="both"/>
        <w:rPr>
          <w:b/>
          <w:sz w:val="22"/>
          <w:szCs w:val="22"/>
        </w:rPr>
      </w:pPr>
    </w:p>
    <w:p w:rsidR="006A0BC6" w:rsidRDefault="006A0BC6" w:rsidP="006A0BC6">
      <w:pPr>
        <w:jc w:val="both"/>
        <w:rPr>
          <w:sz w:val="22"/>
          <w:szCs w:val="22"/>
        </w:rPr>
      </w:pPr>
      <w:r w:rsidRPr="00DB6847">
        <w:rPr>
          <w:sz w:val="22"/>
          <w:szCs w:val="22"/>
        </w:rPr>
        <w:t>Les critères analytiques et la composition des huiles faisant l’objet du marché, seront obligatoirement précisées par les soumissionnaires à l’aide d’une fiche technique jointe à l’échantillon déposé et faisant apparaître les pourcentages approximatifs des acides gras saturés et insaturés.</w:t>
      </w:r>
    </w:p>
    <w:p w:rsidR="00141851" w:rsidRPr="00DB6847" w:rsidRDefault="00141851" w:rsidP="006A0BC6">
      <w:pPr>
        <w:jc w:val="both"/>
        <w:rPr>
          <w:b/>
          <w:sz w:val="22"/>
          <w:szCs w:val="22"/>
        </w:rPr>
      </w:pPr>
    </w:p>
    <w:p w:rsidR="006A0BC6" w:rsidRDefault="003D22B0" w:rsidP="00DC4356">
      <w:pPr>
        <w:pStyle w:val="Titre3"/>
        <w:numPr>
          <w:ilvl w:val="0"/>
          <w:numId w:val="9"/>
        </w:numPr>
        <w:rPr>
          <w:lang w:val="fr-FR"/>
        </w:rPr>
      </w:pPr>
      <w:bookmarkStart w:id="13" w:name="_Toc487446986"/>
      <w:bookmarkStart w:id="14" w:name="_Toc487447792"/>
      <w:r>
        <w:rPr>
          <w:lang w:val="fr-FR"/>
        </w:rPr>
        <w:t>les c</w:t>
      </w:r>
      <w:r w:rsidR="006A0BC6" w:rsidRPr="00DB6847">
        <w:rPr>
          <w:lang w:val="fr-FR"/>
        </w:rPr>
        <w:t>onserves de légumes</w:t>
      </w:r>
      <w:bookmarkEnd w:id="13"/>
      <w:bookmarkEnd w:id="14"/>
      <w:r w:rsidR="006A0BC6" w:rsidRPr="00DB6847">
        <w:rPr>
          <w:lang w:val="fr-FR"/>
        </w:rPr>
        <w:t xml:space="preserve"> </w:t>
      </w:r>
    </w:p>
    <w:p w:rsidR="00141851" w:rsidRPr="00141851" w:rsidRDefault="00141851" w:rsidP="00141851">
      <w:pPr>
        <w:rPr>
          <w:lang w:eastAsia="en-US" w:bidi="en-US"/>
        </w:rPr>
      </w:pPr>
    </w:p>
    <w:p w:rsidR="00922A6A" w:rsidRPr="00DB6847" w:rsidRDefault="00922A6A" w:rsidP="00922A6A">
      <w:pPr>
        <w:autoSpaceDE w:val="0"/>
        <w:autoSpaceDN w:val="0"/>
        <w:adjustRightInd w:val="0"/>
        <w:jc w:val="both"/>
        <w:rPr>
          <w:rFonts w:eastAsia="Calibri"/>
          <w:sz w:val="22"/>
          <w:szCs w:val="22"/>
        </w:rPr>
      </w:pPr>
      <w:r w:rsidRPr="00DB6847">
        <w:rPr>
          <w:rFonts w:eastAsia="Calibri"/>
          <w:sz w:val="22"/>
          <w:szCs w:val="22"/>
        </w:rPr>
        <w:t>Sont considérées comme conserves ; les denrées alimentaires d’origine animale ou végétale dont la conservation est assurée par appertisation.</w:t>
      </w:r>
    </w:p>
    <w:p w:rsidR="00922A6A" w:rsidRDefault="00922A6A" w:rsidP="00922A6A">
      <w:pPr>
        <w:autoSpaceDE w:val="0"/>
        <w:autoSpaceDN w:val="0"/>
        <w:adjustRightInd w:val="0"/>
        <w:jc w:val="both"/>
        <w:rPr>
          <w:rFonts w:eastAsia="Calibri"/>
          <w:sz w:val="22"/>
          <w:szCs w:val="22"/>
        </w:rPr>
      </w:pPr>
    </w:p>
    <w:p w:rsidR="00922A6A" w:rsidRPr="00DB6847" w:rsidRDefault="00922A6A" w:rsidP="00922A6A">
      <w:pPr>
        <w:autoSpaceDE w:val="0"/>
        <w:autoSpaceDN w:val="0"/>
        <w:adjustRightInd w:val="0"/>
        <w:jc w:val="both"/>
        <w:rPr>
          <w:rFonts w:eastAsia="Calibri"/>
          <w:sz w:val="22"/>
          <w:szCs w:val="22"/>
        </w:rPr>
      </w:pPr>
      <w:r w:rsidRPr="00DB6847">
        <w:rPr>
          <w:rFonts w:eastAsia="Calibri"/>
          <w:sz w:val="22"/>
          <w:szCs w:val="22"/>
        </w:rPr>
        <w:t>Les conserves doivent répondre aux normes AFNOR des conserves.</w:t>
      </w:r>
    </w:p>
    <w:p w:rsidR="00922A6A" w:rsidRPr="00DB6847" w:rsidRDefault="00922A6A" w:rsidP="00922A6A">
      <w:pPr>
        <w:autoSpaceDE w:val="0"/>
        <w:autoSpaceDN w:val="0"/>
        <w:adjustRightInd w:val="0"/>
        <w:jc w:val="both"/>
        <w:rPr>
          <w:rFonts w:eastAsia="Calibri"/>
          <w:sz w:val="22"/>
          <w:szCs w:val="22"/>
        </w:rPr>
      </w:pPr>
      <w:r w:rsidRPr="00DB6847">
        <w:rPr>
          <w:rFonts w:eastAsia="Calibri"/>
          <w:sz w:val="22"/>
          <w:szCs w:val="22"/>
        </w:rPr>
        <w:t>La marque commerciale du produit devra figurer obligatoirement dans l’offre B.P.U. (Bordereau des prix unitaires)</w:t>
      </w:r>
    </w:p>
    <w:p w:rsidR="00922A6A" w:rsidRPr="00DB6847" w:rsidRDefault="00922A6A" w:rsidP="00922A6A">
      <w:pPr>
        <w:autoSpaceDE w:val="0"/>
        <w:autoSpaceDN w:val="0"/>
        <w:adjustRightInd w:val="0"/>
        <w:jc w:val="both"/>
        <w:rPr>
          <w:rFonts w:eastAsia="Calibri"/>
          <w:sz w:val="22"/>
          <w:szCs w:val="22"/>
        </w:rPr>
      </w:pPr>
      <w:r w:rsidRPr="00DB6847">
        <w:rPr>
          <w:rFonts w:eastAsia="Calibri"/>
          <w:sz w:val="22"/>
          <w:szCs w:val="22"/>
        </w:rPr>
        <w:t>Lors des livraisons, tous les produits appertisés cabossés, bombés, rouillés, fuités seront refusés.</w:t>
      </w:r>
    </w:p>
    <w:p w:rsidR="006A0BC6" w:rsidRPr="00DB6847" w:rsidRDefault="006A0BC6" w:rsidP="006A0BC6">
      <w:pPr>
        <w:autoSpaceDE w:val="0"/>
        <w:autoSpaceDN w:val="0"/>
        <w:adjustRightInd w:val="0"/>
        <w:jc w:val="both"/>
        <w:rPr>
          <w:b/>
          <w:bCs/>
        </w:rPr>
      </w:pPr>
    </w:p>
    <w:p w:rsidR="006A0BC6" w:rsidRPr="00DB6847" w:rsidRDefault="006A0BC6" w:rsidP="006A0BC6">
      <w:pPr>
        <w:autoSpaceDE w:val="0"/>
        <w:autoSpaceDN w:val="0"/>
        <w:adjustRightInd w:val="0"/>
        <w:jc w:val="both"/>
        <w:rPr>
          <w:sz w:val="22"/>
          <w:szCs w:val="22"/>
        </w:rPr>
      </w:pPr>
      <w:r w:rsidRPr="00DB6847">
        <w:rPr>
          <w:sz w:val="22"/>
          <w:szCs w:val="22"/>
        </w:rPr>
        <w:t xml:space="preserve">La fourniture de </w:t>
      </w:r>
      <w:r w:rsidRPr="00DB6847">
        <w:rPr>
          <w:b/>
          <w:bCs/>
          <w:sz w:val="22"/>
          <w:szCs w:val="22"/>
        </w:rPr>
        <w:t xml:space="preserve">CONSERVES </w:t>
      </w:r>
      <w:r w:rsidRPr="00DB6847">
        <w:rPr>
          <w:sz w:val="22"/>
          <w:szCs w:val="22"/>
        </w:rPr>
        <w:t>faisant l'objet du marché est défini comme suit :</w:t>
      </w:r>
    </w:p>
    <w:p w:rsidR="006A0BC6" w:rsidRPr="00DB6847" w:rsidRDefault="006A0BC6" w:rsidP="006A0BC6">
      <w:pPr>
        <w:autoSpaceDE w:val="0"/>
        <w:autoSpaceDN w:val="0"/>
        <w:adjustRightInd w:val="0"/>
        <w:jc w:val="both"/>
        <w:rPr>
          <w:sz w:val="22"/>
          <w:szCs w:val="22"/>
        </w:rPr>
      </w:pPr>
      <w:r w:rsidRPr="00DB6847">
        <w:rPr>
          <w:sz w:val="22"/>
          <w:szCs w:val="22"/>
        </w:rPr>
        <w:t xml:space="preserve">- la qualité sera celle prévue par la réglementation en vigueur, et les produits devront répondre à tous les points de vue aux spécifications techniques du GEMRCN </w:t>
      </w:r>
    </w:p>
    <w:p w:rsidR="006A0BC6" w:rsidRPr="00DB6847" w:rsidRDefault="006A0BC6" w:rsidP="006A0BC6">
      <w:pPr>
        <w:autoSpaceDE w:val="0"/>
        <w:autoSpaceDN w:val="0"/>
        <w:adjustRightInd w:val="0"/>
        <w:jc w:val="both"/>
        <w:rPr>
          <w:sz w:val="22"/>
          <w:szCs w:val="22"/>
        </w:rPr>
      </w:pPr>
    </w:p>
    <w:p w:rsidR="006A0BC6" w:rsidRPr="00DB6847" w:rsidRDefault="006A0BC6" w:rsidP="006A0BC6">
      <w:pPr>
        <w:autoSpaceDE w:val="0"/>
        <w:autoSpaceDN w:val="0"/>
        <w:adjustRightInd w:val="0"/>
        <w:jc w:val="both"/>
        <w:rPr>
          <w:sz w:val="22"/>
          <w:szCs w:val="22"/>
        </w:rPr>
      </w:pPr>
      <w:r w:rsidRPr="00DB6847">
        <w:rPr>
          <w:sz w:val="22"/>
          <w:szCs w:val="22"/>
        </w:rPr>
        <w:t>L’étiquetage devra préciser :</w:t>
      </w:r>
    </w:p>
    <w:p w:rsidR="006A0BC6" w:rsidRPr="00DB6847" w:rsidRDefault="006A0BC6" w:rsidP="006A0BC6">
      <w:pPr>
        <w:autoSpaceDE w:val="0"/>
        <w:autoSpaceDN w:val="0"/>
        <w:adjustRightInd w:val="0"/>
        <w:jc w:val="both"/>
        <w:rPr>
          <w:sz w:val="22"/>
          <w:szCs w:val="22"/>
        </w:rPr>
      </w:pPr>
      <w:r w:rsidRPr="00DB6847">
        <w:rPr>
          <w:sz w:val="22"/>
          <w:szCs w:val="22"/>
        </w:rPr>
        <w:t>- dénomination de vente et caractéristiques nutritionnelles de chaque produit,</w:t>
      </w:r>
    </w:p>
    <w:p w:rsidR="006A0BC6" w:rsidRPr="00DB6847" w:rsidRDefault="006A0BC6" w:rsidP="006A0BC6">
      <w:pPr>
        <w:autoSpaceDE w:val="0"/>
        <w:autoSpaceDN w:val="0"/>
        <w:adjustRightInd w:val="0"/>
        <w:jc w:val="both"/>
        <w:rPr>
          <w:sz w:val="22"/>
          <w:szCs w:val="22"/>
        </w:rPr>
      </w:pPr>
      <w:r w:rsidRPr="00DB6847">
        <w:rPr>
          <w:sz w:val="22"/>
          <w:szCs w:val="22"/>
        </w:rPr>
        <w:t>- date de fabrication,</w:t>
      </w:r>
    </w:p>
    <w:p w:rsidR="006A0BC6" w:rsidRPr="00DB6847" w:rsidRDefault="006A0BC6" w:rsidP="006A0BC6">
      <w:pPr>
        <w:autoSpaceDE w:val="0"/>
        <w:autoSpaceDN w:val="0"/>
        <w:adjustRightInd w:val="0"/>
        <w:jc w:val="both"/>
        <w:rPr>
          <w:sz w:val="22"/>
          <w:szCs w:val="22"/>
        </w:rPr>
      </w:pPr>
      <w:r w:rsidRPr="00DB6847">
        <w:rPr>
          <w:sz w:val="22"/>
          <w:szCs w:val="22"/>
        </w:rPr>
        <w:t>- date limite de consommation,</w:t>
      </w:r>
    </w:p>
    <w:p w:rsidR="006A0BC6" w:rsidRPr="00DB6847" w:rsidRDefault="006A0BC6" w:rsidP="006A0BC6">
      <w:pPr>
        <w:autoSpaceDE w:val="0"/>
        <w:autoSpaceDN w:val="0"/>
        <w:adjustRightInd w:val="0"/>
        <w:jc w:val="both"/>
        <w:rPr>
          <w:sz w:val="22"/>
          <w:szCs w:val="22"/>
        </w:rPr>
      </w:pPr>
      <w:r w:rsidRPr="00DB6847">
        <w:rPr>
          <w:sz w:val="22"/>
          <w:szCs w:val="22"/>
        </w:rPr>
        <w:t>- poids de chaque unité,</w:t>
      </w:r>
    </w:p>
    <w:p w:rsidR="006A0BC6" w:rsidRPr="00DB6847" w:rsidRDefault="006A0BC6" w:rsidP="006A0BC6">
      <w:pPr>
        <w:autoSpaceDE w:val="0"/>
        <w:autoSpaceDN w:val="0"/>
        <w:adjustRightInd w:val="0"/>
        <w:jc w:val="both"/>
        <w:rPr>
          <w:sz w:val="22"/>
          <w:szCs w:val="22"/>
        </w:rPr>
      </w:pPr>
      <w:r w:rsidRPr="00DB6847">
        <w:rPr>
          <w:sz w:val="22"/>
          <w:szCs w:val="22"/>
        </w:rPr>
        <w:t>- modes de conservation et d’utilisation.</w:t>
      </w:r>
    </w:p>
    <w:p w:rsidR="006A0BC6" w:rsidRPr="00DB6847" w:rsidRDefault="006A0BC6" w:rsidP="006A0BC6">
      <w:pPr>
        <w:autoSpaceDE w:val="0"/>
        <w:autoSpaceDN w:val="0"/>
        <w:adjustRightInd w:val="0"/>
        <w:jc w:val="both"/>
        <w:rPr>
          <w:sz w:val="22"/>
          <w:szCs w:val="22"/>
        </w:rPr>
      </w:pPr>
    </w:p>
    <w:p w:rsidR="006A0BC6" w:rsidRPr="00DB6847" w:rsidRDefault="006A0BC6" w:rsidP="006A0BC6">
      <w:pPr>
        <w:autoSpaceDE w:val="0"/>
        <w:autoSpaceDN w:val="0"/>
        <w:adjustRightInd w:val="0"/>
        <w:jc w:val="both"/>
        <w:rPr>
          <w:bCs/>
          <w:sz w:val="22"/>
          <w:szCs w:val="22"/>
        </w:rPr>
      </w:pPr>
      <w:r w:rsidRPr="00DB6847">
        <w:rPr>
          <w:bCs/>
          <w:sz w:val="22"/>
          <w:szCs w:val="22"/>
        </w:rPr>
        <w:t>Les produits en conserve ne devront présenter aucun signe extérieur susceptible de correspondre à une altération de la denrée (mauvais sertissage, c</w:t>
      </w:r>
      <w:r w:rsidR="000D1C17">
        <w:rPr>
          <w:bCs/>
          <w:sz w:val="22"/>
          <w:szCs w:val="22"/>
        </w:rPr>
        <w:t>abosse</w:t>
      </w:r>
      <w:r w:rsidRPr="00DB6847">
        <w:rPr>
          <w:bCs/>
          <w:sz w:val="22"/>
          <w:szCs w:val="22"/>
        </w:rPr>
        <w:t xml:space="preserve"> ou rouille, bec au niveau de la sertissure).</w:t>
      </w:r>
    </w:p>
    <w:p w:rsidR="007C7C71" w:rsidRDefault="007C7C71" w:rsidP="00DA5F15">
      <w:pPr>
        <w:jc w:val="both"/>
        <w:rPr>
          <w:sz w:val="22"/>
          <w:szCs w:val="22"/>
        </w:rPr>
      </w:pPr>
    </w:p>
    <w:p w:rsidR="00555045" w:rsidRPr="00555045" w:rsidRDefault="007C7C71" w:rsidP="00DA5F15">
      <w:pPr>
        <w:jc w:val="both"/>
      </w:pPr>
      <w:r w:rsidRPr="00DB6847">
        <w:rPr>
          <w:sz w:val="22"/>
          <w:szCs w:val="22"/>
        </w:rPr>
        <w:t>Pour les fonds et les jus : indication des allergènes majeurs sur les fiches techniques ainsi que la composition précise</w:t>
      </w:r>
    </w:p>
    <w:p w:rsidR="007C7C71" w:rsidRDefault="007C7C71" w:rsidP="009A193E">
      <w:pPr>
        <w:jc w:val="both"/>
        <w:rPr>
          <w:u w:val="single"/>
        </w:rPr>
      </w:pPr>
    </w:p>
    <w:p w:rsidR="009A193E" w:rsidRPr="00555045" w:rsidRDefault="003D22B0" w:rsidP="009A193E">
      <w:pPr>
        <w:jc w:val="both"/>
      </w:pPr>
      <w:r>
        <w:rPr>
          <w:u w:val="single"/>
        </w:rPr>
        <w:t>F</w:t>
      </w:r>
      <w:r w:rsidR="009A193E" w:rsidRPr="00555045">
        <w:rPr>
          <w:u w:val="single"/>
        </w:rPr>
        <w:t>ICHES TECHNIQUES PRODUITS</w:t>
      </w:r>
      <w:r w:rsidR="009A193E" w:rsidRPr="00555045">
        <w:t> : le fournisseur devra joindre pour chaque article, la fiche technique détaillée qui devra mentionner les ingrédients entrant dans la composition du produit ainsi que les taux de protides, lipides et glucides.</w:t>
      </w:r>
    </w:p>
    <w:p w:rsidR="009A193E" w:rsidRPr="00555045" w:rsidRDefault="009A193E" w:rsidP="009A193E">
      <w:pPr>
        <w:jc w:val="both"/>
      </w:pPr>
    </w:p>
    <w:p w:rsidR="009A193E" w:rsidRPr="00555045" w:rsidRDefault="009A193E" w:rsidP="009A193E">
      <w:pPr>
        <w:jc w:val="both"/>
      </w:pPr>
      <w:r w:rsidRPr="00555045">
        <w:rPr>
          <w:u w:val="single"/>
        </w:rPr>
        <w:t>FOURNITURE D’ECHANTILLONS</w:t>
      </w:r>
      <w:r w:rsidRPr="00555045">
        <w:t xml:space="preserve"> : des échantillons seront fournis à la demande de l’établissement. </w:t>
      </w:r>
    </w:p>
    <w:p w:rsidR="005A7C87" w:rsidRPr="00555045" w:rsidRDefault="005A7C87" w:rsidP="005A7C87">
      <w:pPr>
        <w:jc w:val="both"/>
      </w:pPr>
    </w:p>
    <w:sectPr w:rsidR="005A7C87" w:rsidRPr="00555045" w:rsidSect="002E753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4F" w:rsidRDefault="0049744F" w:rsidP="00806B1D">
      <w:r>
        <w:separator/>
      </w:r>
    </w:p>
  </w:endnote>
  <w:endnote w:type="continuationSeparator" w:id="0">
    <w:p w:rsidR="0049744F" w:rsidRDefault="0049744F" w:rsidP="00806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96"/>
      <w:gridCol w:w="286"/>
    </w:tblGrid>
    <w:tr w:rsidR="0049744F" w:rsidTr="00806B1D">
      <w:tc>
        <w:tcPr>
          <w:tcW w:w="9039" w:type="dxa"/>
        </w:tcPr>
        <w:p w:rsidR="0049744F" w:rsidRDefault="0049744F" w:rsidP="00806B1D">
          <w:pPr>
            <w:pStyle w:val="Pieddepage"/>
            <w:rPr>
              <w:b/>
              <w:color w:val="4F81BD" w:themeColor="accent1"/>
              <w:sz w:val="32"/>
              <w:szCs w:val="32"/>
            </w:rPr>
          </w:pPr>
          <w:r>
            <w:t xml:space="preserve">CCTP EPICERIE                                                                                                                   </w:t>
          </w:r>
          <w:fldSimple w:instr=" PAGE   \* MERGEFORMAT ">
            <w:r w:rsidR="000D1C17" w:rsidRPr="000D1C17">
              <w:rPr>
                <w:b/>
                <w:noProof/>
                <w:color w:val="4F81BD" w:themeColor="accent1"/>
                <w:sz w:val="32"/>
                <w:szCs w:val="32"/>
              </w:rPr>
              <w:t>4</w:t>
            </w:r>
          </w:fldSimple>
        </w:p>
      </w:tc>
      <w:tc>
        <w:tcPr>
          <w:tcW w:w="249" w:type="dxa"/>
        </w:tcPr>
        <w:p w:rsidR="0049744F" w:rsidRDefault="0049744F">
          <w:pPr>
            <w:pStyle w:val="Pieddepage"/>
          </w:pPr>
        </w:p>
      </w:tc>
    </w:tr>
  </w:tbl>
  <w:p w:rsidR="0049744F" w:rsidRDefault="004974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4F" w:rsidRDefault="0049744F" w:rsidP="00806B1D">
      <w:r>
        <w:separator/>
      </w:r>
    </w:p>
  </w:footnote>
  <w:footnote w:type="continuationSeparator" w:id="0">
    <w:p w:rsidR="0049744F" w:rsidRDefault="0049744F" w:rsidP="00806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0B8"/>
    <w:multiLevelType w:val="hybridMultilevel"/>
    <w:tmpl w:val="40D6B864"/>
    <w:lvl w:ilvl="0" w:tplc="54A4A186">
      <w:numFmt w:val="bullet"/>
      <w:lvlText w:val="-"/>
      <w:lvlJc w:val="left"/>
      <w:pPr>
        <w:tabs>
          <w:tab w:val="num" w:pos="4605"/>
        </w:tabs>
        <w:ind w:left="4605" w:hanging="360"/>
      </w:pPr>
      <w:rPr>
        <w:rFonts w:ascii="Times New Roman" w:eastAsia="Times New Roman" w:hAnsi="Times New Roman" w:cs="Times New Roman" w:hint="default"/>
      </w:rPr>
    </w:lvl>
    <w:lvl w:ilvl="1" w:tplc="040C0003" w:tentative="1">
      <w:start w:val="1"/>
      <w:numFmt w:val="bullet"/>
      <w:lvlText w:val="o"/>
      <w:lvlJc w:val="left"/>
      <w:pPr>
        <w:tabs>
          <w:tab w:val="num" w:pos="5325"/>
        </w:tabs>
        <w:ind w:left="5325" w:hanging="360"/>
      </w:pPr>
      <w:rPr>
        <w:rFonts w:ascii="Courier New" w:hAnsi="Courier New" w:cs="Courier New" w:hint="default"/>
      </w:rPr>
    </w:lvl>
    <w:lvl w:ilvl="2" w:tplc="040C0005" w:tentative="1">
      <w:start w:val="1"/>
      <w:numFmt w:val="bullet"/>
      <w:lvlText w:val=""/>
      <w:lvlJc w:val="left"/>
      <w:pPr>
        <w:tabs>
          <w:tab w:val="num" w:pos="6045"/>
        </w:tabs>
        <w:ind w:left="6045" w:hanging="360"/>
      </w:pPr>
      <w:rPr>
        <w:rFonts w:ascii="Wingdings" w:hAnsi="Wingdings" w:hint="default"/>
      </w:rPr>
    </w:lvl>
    <w:lvl w:ilvl="3" w:tplc="040C0001" w:tentative="1">
      <w:start w:val="1"/>
      <w:numFmt w:val="bullet"/>
      <w:lvlText w:val=""/>
      <w:lvlJc w:val="left"/>
      <w:pPr>
        <w:tabs>
          <w:tab w:val="num" w:pos="6765"/>
        </w:tabs>
        <w:ind w:left="6765" w:hanging="360"/>
      </w:pPr>
      <w:rPr>
        <w:rFonts w:ascii="Symbol" w:hAnsi="Symbol" w:hint="default"/>
      </w:rPr>
    </w:lvl>
    <w:lvl w:ilvl="4" w:tplc="040C0003" w:tentative="1">
      <w:start w:val="1"/>
      <w:numFmt w:val="bullet"/>
      <w:lvlText w:val="o"/>
      <w:lvlJc w:val="left"/>
      <w:pPr>
        <w:tabs>
          <w:tab w:val="num" w:pos="7485"/>
        </w:tabs>
        <w:ind w:left="7485" w:hanging="360"/>
      </w:pPr>
      <w:rPr>
        <w:rFonts w:ascii="Courier New" w:hAnsi="Courier New" w:cs="Courier New" w:hint="default"/>
      </w:rPr>
    </w:lvl>
    <w:lvl w:ilvl="5" w:tplc="040C0005" w:tentative="1">
      <w:start w:val="1"/>
      <w:numFmt w:val="bullet"/>
      <w:lvlText w:val=""/>
      <w:lvlJc w:val="left"/>
      <w:pPr>
        <w:tabs>
          <w:tab w:val="num" w:pos="8205"/>
        </w:tabs>
        <w:ind w:left="8205" w:hanging="360"/>
      </w:pPr>
      <w:rPr>
        <w:rFonts w:ascii="Wingdings" w:hAnsi="Wingdings" w:hint="default"/>
      </w:rPr>
    </w:lvl>
    <w:lvl w:ilvl="6" w:tplc="040C0001" w:tentative="1">
      <w:start w:val="1"/>
      <w:numFmt w:val="bullet"/>
      <w:lvlText w:val=""/>
      <w:lvlJc w:val="left"/>
      <w:pPr>
        <w:tabs>
          <w:tab w:val="num" w:pos="8925"/>
        </w:tabs>
        <w:ind w:left="8925" w:hanging="360"/>
      </w:pPr>
      <w:rPr>
        <w:rFonts w:ascii="Symbol" w:hAnsi="Symbol" w:hint="default"/>
      </w:rPr>
    </w:lvl>
    <w:lvl w:ilvl="7" w:tplc="040C0003" w:tentative="1">
      <w:start w:val="1"/>
      <w:numFmt w:val="bullet"/>
      <w:lvlText w:val="o"/>
      <w:lvlJc w:val="left"/>
      <w:pPr>
        <w:tabs>
          <w:tab w:val="num" w:pos="9645"/>
        </w:tabs>
        <w:ind w:left="9645" w:hanging="360"/>
      </w:pPr>
      <w:rPr>
        <w:rFonts w:ascii="Courier New" w:hAnsi="Courier New" w:cs="Courier New" w:hint="default"/>
      </w:rPr>
    </w:lvl>
    <w:lvl w:ilvl="8" w:tplc="040C0005" w:tentative="1">
      <w:start w:val="1"/>
      <w:numFmt w:val="bullet"/>
      <w:lvlText w:val=""/>
      <w:lvlJc w:val="left"/>
      <w:pPr>
        <w:tabs>
          <w:tab w:val="num" w:pos="10365"/>
        </w:tabs>
        <w:ind w:left="10365" w:hanging="360"/>
      </w:pPr>
      <w:rPr>
        <w:rFonts w:ascii="Wingdings" w:hAnsi="Wingdings" w:hint="default"/>
      </w:rPr>
    </w:lvl>
  </w:abstractNum>
  <w:abstractNum w:abstractNumId="1">
    <w:nsid w:val="095664AD"/>
    <w:multiLevelType w:val="hybridMultilevel"/>
    <w:tmpl w:val="17B6E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FD48FB"/>
    <w:multiLevelType w:val="hybridMultilevel"/>
    <w:tmpl w:val="75BACBE2"/>
    <w:lvl w:ilvl="0" w:tplc="040C000F">
      <w:start w:val="1"/>
      <w:numFmt w:val="decimal"/>
      <w:lvlText w:val="%1."/>
      <w:lvlJc w:val="left"/>
      <w:pPr>
        <w:ind w:left="2850" w:hanging="360"/>
      </w:pPr>
    </w:lvl>
    <w:lvl w:ilvl="1" w:tplc="040C0019" w:tentative="1">
      <w:start w:val="1"/>
      <w:numFmt w:val="lowerLetter"/>
      <w:lvlText w:val="%2."/>
      <w:lvlJc w:val="left"/>
      <w:pPr>
        <w:ind w:left="3570" w:hanging="360"/>
      </w:pPr>
    </w:lvl>
    <w:lvl w:ilvl="2" w:tplc="040C001B" w:tentative="1">
      <w:start w:val="1"/>
      <w:numFmt w:val="lowerRoman"/>
      <w:lvlText w:val="%3."/>
      <w:lvlJc w:val="right"/>
      <w:pPr>
        <w:ind w:left="4290" w:hanging="180"/>
      </w:pPr>
    </w:lvl>
    <w:lvl w:ilvl="3" w:tplc="040C000F" w:tentative="1">
      <w:start w:val="1"/>
      <w:numFmt w:val="decimal"/>
      <w:lvlText w:val="%4."/>
      <w:lvlJc w:val="left"/>
      <w:pPr>
        <w:ind w:left="5010" w:hanging="360"/>
      </w:pPr>
    </w:lvl>
    <w:lvl w:ilvl="4" w:tplc="040C0019" w:tentative="1">
      <w:start w:val="1"/>
      <w:numFmt w:val="lowerLetter"/>
      <w:lvlText w:val="%5."/>
      <w:lvlJc w:val="left"/>
      <w:pPr>
        <w:ind w:left="5730" w:hanging="360"/>
      </w:pPr>
    </w:lvl>
    <w:lvl w:ilvl="5" w:tplc="040C001B" w:tentative="1">
      <w:start w:val="1"/>
      <w:numFmt w:val="lowerRoman"/>
      <w:lvlText w:val="%6."/>
      <w:lvlJc w:val="right"/>
      <w:pPr>
        <w:ind w:left="6450" w:hanging="180"/>
      </w:pPr>
    </w:lvl>
    <w:lvl w:ilvl="6" w:tplc="040C000F" w:tentative="1">
      <w:start w:val="1"/>
      <w:numFmt w:val="decimal"/>
      <w:lvlText w:val="%7."/>
      <w:lvlJc w:val="left"/>
      <w:pPr>
        <w:ind w:left="7170" w:hanging="360"/>
      </w:pPr>
    </w:lvl>
    <w:lvl w:ilvl="7" w:tplc="040C0019" w:tentative="1">
      <w:start w:val="1"/>
      <w:numFmt w:val="lowerLetter"/>
      <w:lvlText w:val="%8."/>
      <w:lvlJc w:val="left"/>
      <w:pPr>
        <w:ind w:left="7890" w:hanging="360"/>
      </w:pPr>
    </w:lvl>
    <w:lvl w:ilvl="8" w:tplc="040C001B" w:tentative="1">
      <w:start w:val="1"/>
      <w:numFmt w:val="lowerRoman"/>
      <w:lvlText w:val="%9."/>
      <w:lvlJc w:val="right"/>
      <w:pPr>
        <w:ind w:left="8610" w:hanging="180"/>
      </w:pPr>
    </w:lvl>
  </w:abstractNum>
  <w:abstractNum w:abstractNumId="3">
    <w:nsid w:val="19D25129"/>
    <w:multiLevelType w:val="hybridMultilevel"/>
    <w:tmpl w:val="0E1C9D42"/>
    <w:lvl w:ilvl="0" w:tplc="29D8A0D2">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
    <w:nsid w:val="20F03EB4"/>
    <w:multiLevelType w:val="hybridMultilevel"/>
    <w:tmpl w:val="7C10F3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70067C"/>
    <w:multiLevelType w:val="hybridMultilevel"/>
    <w:tmpl w:val="51D27D64"/>
    <w:lvl w:ilvl="0" w:tplc="C9C2C42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98206B"/>
    <w:multiLevelType w:val="hybridMultilevel"/>
    <w:tmpl w:val="E65A9A94"/>
    <w:lvl w:ilvl="0" w:tplc="C9C2C42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6C15C5"/>
    <w:multiLevelType w:val="multilevel"/>
    <w:tmpl w:val="A3D6E340"/>
    <w:lvl w:ilvl="0">
      <w:start w:val="1"/>
      <w:numFmt w:val="decimal"/>
      <w:lvlText w:val="%1."/>
      <w:lvlJc w:val="left"/>
      <w:pPr>
        <w:ind w:left="1425" w:hanging="360"/>
      </w:p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8">
    <w:nsid w:val="425E52AA"/>
    <w:multiLevelType w:val="multilevel"/>
    <w:tmpl w:val="A3D6E340"/>
    <w:lvl w:ilvl="0">
      <w:start w:val="1"/>
      <w:numFmt w:val="decimal"/>
      <w:lvlText w:val="%1."/>
      <w:lvlJc w:val="left"/>
      <w:pPr>
        <w:ind w:left="1425" w:hanging="360"/>
      </w:p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9">
    <w:nsid w:val="4E2932E2"/>
    <w:multiLevelType w:val="multilevel"/>
    <w:tmpl w:val="706411D2"/>
    <w:lvl w:ilvl="0">
      <w:start w:val="2"/>
      <w:numFmt w:val="decimal"/>
      <w:lvlText w:val="%1."/>
      <w:lvlJc w:val="left"/>
      <w:pPr>
        <w:ind w:left="420" w:hanging="42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0">
    <w:nsid w:val="572917E1"/>
    <w:multiLevelType w:val="hybridMultilevel"/>
    <w:tmpl w:val="245E7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5E04C9"/>
    <w:multiLevelType w:val="hybridMultilevel"/>
    <w:tmpl w:val="5F3862B4"/>
    <w:lvl w:ilvl="0" w:tplc="C9C2C42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830DF5"/>
    <w:multiLevelType w:val="hybridMultilevel"/>
    <w:tmpl w:val="E94455B4"/>
    <w:lvl w:ilvl="0" w:tplc="C9C2C42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CC6D22"/>
    <w:multiLevelType w:val="hybridMultilevel"/>
    <w:tmpl w:val="0454458E"/>
    <w:lvl w:ilvl="0" w:tplc="C9C2C42E">
      <w:start w:val="3"/>
      <w:numFmt w:val="bullet"/>
      <w:lvlText w:val="-"/>
      <w:lvlJc w:val="left"/>
      <w:pPr>
        <w:ind w:left="1680" w:hanging="360"/>
      </w:pPr>
      <w:rPr>
        <w:rFonts w:ascii="Arial" w:eastAsia="Times New Roman" w:hAnsi="Arial" w:cs="Aria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4">
    <w:nsid w:val="723A6F08"/>
    <w:multiLevelType w:val="hybridMultilevel"/>
    <w:tmpl w:val="03FC2862"/>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4"/>
  </w:num>
  <w:num w:numId="6">
    <w:abstractNumId w:val="13"/>
  </w:num>
  <w:num w:numId="7">
    <w:abstractNumId w:val="5"/>
  </w:num>
  <w:num w:numId="8">
    <w:abstractNumId w:val="2"/>
  </w:num>
  <w:num w:numId="9">
    <w:abstractNumId w:val="3"/>
  </w:num>
  <w:num w:numId="10">
    <w:abstractNumId w:val="12"/>
  </w:num>
  <w:num w:numId="11">
    <w:abstractNumId w:val="6"/>
  </w:num>
  <w:num w:numId="12">
    <w:abstractNumId w:val="11"/>
  </w:num>
  <w:num w:numId="13">
    <w:abstractNumId w:val="8"/>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4562A"/>
    <w:rsid w:val="000201E9"/>
    <w:rsid w:val="000D1C17"/>
    <w:rsid w:val="00141851"/>
    <w:rsid w:val="00177334"/>
    <w:rsid w:val="002957B0"/>
    <w:rsid w:val="002E60AE"/>
    <w:rsid w:val="002E7531"/>
    <w:rsid w:val="003030EB"/>
    <w:rsid w:val="00361CA3"/>
    <w:rsid w:val="003D22B0"/>
    <w:rsid w:val="003F062F"/>
    <w:rsid w:val="00450A04"/>
    <w:rsid w:val="0049744F"/>
    <w:rsid w:val="005053E6"/>
    <w:rsid w:val="0054562A"/>
    <w:rsid w:val="00555045"/>
    <w:rsid w:val="005A7C87"/>
    <w:rsid w:val="005B5101"/>
    <w:rsid w:val="00633842"/>
    <w:rsid w:val="006873DF"/>
    <w:rsid w:val="006A0BC6"/>
    <w:rsid w:val="006D030C"/>
    <w:rsid w:val="00734345"/>
    <w:rsid w:val="007C7C71"/>
    <w:rsid w:val="007E0497"/>
    <w:rsid w:val="00806B1D"/>
    <w:rsid w:val="008C68FF"/>
    <w:rsid w:val="008D0A33"/>
    <w:rsid w:val="00921231"/>
    <w:rsid w:val="00922A6A"/>
    <w:rsid w:val="009A193E"/>
    <w:rsid w:val="009A78CF"/>
    <w:rsid w:val="009E0DA1"/>
    <w:rsid w:val="00A0611B"/>
    <w:rsid w:val="00A346D6"/>
    <w:rsid w:val="00A756E0"/>
    <w:rsid w:val="00AB24C3"/>
    <w:rsid w:val="00B37CA7"/>
    <w:rsid w:val="00B65B38"/>
    <w:rsid w:val="00BA3B09"/>
    <w:rsid w:val="00CB5715"/>
    <w:rsid w:val="00CD792D"/>
    <w:rsid w:val="00D2710E"/>
    <w:rsid w:val="00DA5F15"/>
    <w:rsid w:val="00DC4356"/>
    <w:rsid w:val="00E17048"/>
    <w:rsid w:val="00E41C56"/>
    <w:rsid w:val="00EF5D5B"/>
    <w:rsid w:val="00F002FD"/>
    <w:rsid w:val="00F135F7"/>
    <w:rsid w:val="00F447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334"/>
    <w:rPr>
      <w:sz w:val="24"/>
      <w:szCs w:val="24"/>
    </w:rPr>
  </w:style>
  <w:style w:type="paragraph" w:styleId="Titre1">
    <w:name w:val="heading 1"/>
    <w:basedOn w:val="Normal"/>
    <w:next w:val="Normal"/>
    <w:link w:val="Titre1Car"/>
    <w:qFormat/>
    <w:rsid w:val="005B5101"/>
    <w:pPr>
      <w:keepNext/>
      <w:spacing w:before="240" w:after="60"/>
      <w:ind w:left="432" w:hanging="432"/>
      <w:outlineLvl w:val="0"/>
    </w:pPr>
    <w:rPr>
      <w:rFonts w:ascii="Calibri Light" w:hAnsi="Calibri Light"/>
      <w:b/>
      <w:bCs/>
      <w:kern w:val="32"/>
      <w:sz w:val="32"/>
      <w:szCs w:val="32"/>
    </w:rPr>
  </w:style>
  <w:style w:type="paragraph" w:styleId="Titre2">
    <w:name w:val="heading 2"/>
    <w:basedOn w:val="Normal"/>
    <w:next w:val="Normal"/>
    <w:link w:val="Titre2Car"/>
    <w:uiPriority w:val="9"/>
    <w:unhideWhenUsed/>
    <w:qFormat/>
    <w:rsid w:val="006A0BC6"/>
    <w:pPr>
      <w:keepLines/>
      <w:tabs>
        <w:tab w:val="left" w:pos="567"/>
        <w:tab w:val="left" w:pos="851"/>
        <w:tab w:val="left" w:pos="1134"/>
      </w:tabs>
      <w:spacing w:before="120" w:after="120"/>
      <w:ind w:left="964"/>
      <w:contextualSpacing/>
      <w:jc w:val="both"/>
      <w:outlineLvl w:val="1"/>
    </w:pPr>
    <w:rPr>
      <w:b/>
      <w:smallCaps/>
      <w:color w:val="17365D"/>
      <w:spacing w:val="20"/>
      <w:szCs w:val="28"/>
      <w:u w:val="single"/>
      <w:lang w:val="en-US" w:eastAsia="en-US" w:bidi="en-US"/>
    </w:rPr>
  </w:style>
  <w:style w:type="paragraph" w:styleId="Titre3">
    <w:name w:val="heading 3"/>
    <w:basedOn w:val="Normal"/>
    <w:next w:val="Normal"/>
    <w:link w:val="Titre3Car"/>
    <w:uiPriority w:val="9"/>
    <w:unhideWhenUsed/>
    <w:qFormat/>
    <w:rsid w:val="006A0BC6"/>
    <w:pPr>
      <w:spacing w:before="120" w:after="60"/>
      <w:ind w:left="1701"/>
      <w:contextualSpacing/>
      <w:outlineLvl w:val="2"/>
    </w:pPr>
    <w:rPr>
      <w:b/>
      <w:smallCaps/>
      <w:color w:val="1F497D"/>
      <w:spacing w:val="20"/>
      <w:u w:val="single"/>
      <w:lang w:val="en-US" w:eastAsia="en-US" w:bidi="en-US"/>
    </w:rPr>
  </w:style>
  <w:style w:type="paragraph" w:styleId="Titre4">
    <w:name w:val="heading 4"/>
    <w:basedOn w:val="Normal"/>
    <w:next w:val="Normal"/>
    <w:link w:val="Titre4Car"/>
    <w:semiHidden/>
    <w:unhideWhenUsed/>
    <w:qFormat/>
    <w:rsid w:val="005B5101"/>
    <w:pPr>
      <w:keepNext/>
      <w:spacing w:before="240" w:after="60"/>
      <w:ind w:left="864" w:hanging="864"/>
      <w:outlineLvl w:val="3"/>
    </w:pPr>
    <w:rPr>
      <w:rFonts w:ascii="Calibri" w:hAnsi="Calibri"/>
      <w:b/>
      <w:bCs/>
      <w:sz w:val="28"/>
      <w:szCs w:val="28"/>
    </w:rPr>
  </w:style>
  <w:style w:type="paragraph" w:styleId="Titre5">
    <w:name w:val="heading 5"/>
    <w:basedOn w:val="Normal"/>
    <w:next w:val="Normal"/>
    <w:link w:val="Titre5Car"/>
    <w:semiHidden/>
    <w:unhideWhenUsed/>
    <w:qFormat/>
    <w:rsid w:val="005B5101"/>
    <w:pPr>
      <w:spacing w:before="240" w:after="60"/>
      <w:ind w:left="1008" w:hanging="1008"/>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5B5101"/>
    <w:pPr>
      <w:spacing w:before="240" w:after="60"/>
      <w:ind w:left="1152" w:hanging="1152"/>
      <w:outlineLvl w:val="5"/>
    </w:pPr>
    <w:rPr>
      <w:rFonts w:ascii="Calibri" w:hAnsi="Calibri"/>
      <w:b/>
      <w:bCs/>
      <w:sz w:val="22"/>
      <w:szCs w:val="22"/>
    </w:rPr>
  </w:style>
  <w:style w:type="paragraph" w:styleId="Titre7">
    <w:name w:val="heading 7"/>
    <w:basedOn w:val="Normal"/>
    <w:next w:val="Normal"/>
    <w:link w:val="Titre7Car"/>
    <w:semiHidden/>
    <w:unhideWhenUsed/>
    <w:qFormat/>
    <w:rsid w:val="005B5101"/>
    <w:pPr>
      <w:spacing w:before="240" w:after="60"/>
      <w:ind w:left="1296" w:hanging="1296"/>
      <w:outlineLvl w:val="6"/>
    </w:pPr>
    <w:rPr>
      <w:rFonts w:ascii="Calibri" w:hAnsi="Calibri"/>
    </w:rPr>
  </w:style>
  <w:style w:type="paragraph" w:styleId="Titre8">
    <w:name w:val="heading 8"/>
    <w:basedOn w:val="Normal"/>
    <w:next w:val="Normal"/>
    <w:link w:val="Titre8Car"/>
    <w:semiHidden/>
    <w:unhideWhenUsed/>
    <w:qFormat/>
    <w:rsid w:val="005B5101"/>
    <w:pPr>
      <w:spacing w:before="240" w:after="60"/>
      <w:ind w:left="1440" w:hanging="1440"/>
      <w:outlineLvl w:val="7"/>
    </w:pPr>
    <w:rPr>
      <w:rFonts w:ascii="Calibri" w:hAnsi="Calibri"/>
      <w:i/>
      <w:iCs/>
    </w:rPr>
  </w:style>
  <w:style w:type="paragraph" w:styleId="Titre9">
    <w:name w:val="heading 9"/>
    <w:basedOn w:val="Normal"/>
    <w:next w:val="Normal"/>
    <w:link w:val="Titre9Car"/>
    <w:semiHidden/>
    <w:unhideWhenUsed/>
    <w:qFormat/>
    <w:rsid w:val="005B5101"/>
    <w:pPr>
      <w:spacing w:before="240" w:after="60"/>
      <w:ind w:left="1584" w:hanging="1584"/>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7E0497"/>
    <w:rPr>
      <w:rFonts w:ascii="Tahoma" w:hAnsi="Tahoma" w:cs="Tahoma"/>
      <w:sz w:val="16"/>
      <w:szCs w:val="16"/>
    </w:rPr>
  </w:style>
  <w:style w:type="character" w:customStyle="1" w:styleId="TextedebullesCar">
    <w:name w:val="Texte de bulles Car"/>
    <w:link w:val="Textedebulles"/>
    <w:rsid w:val="007E0497"/>
    <w:rPr>
      <w:rFonts w:ascii="Tahoma" w:hAnsi="Tahoma" w:cs="Tahoma"/>
      <w:sz w:val="16"/>
      <w:szCs w:val="16"/>
    </w:rPr>
  </w:style>
  <w:style w:type="character" w:customStyle="1" w:styleId="Titre2Car">
    <w:name w:val="Titre 2 Car"/>
    <w:link w:val="Titre2"/>
    <w:uiPriority w:val="9"/>
    <w:rsid w:val="006A0BC6"/>
    <w:rPr>
      <w:b/>
      <w:smallCaps/>
      <w:color w:val="17365D"/>
      <w:spacing w:val="20"/>
      <w:sz w:val="24"/>
      <w:szCs w:val="28"/>
      <w:u w:val="single"/>
      <w:lang w:val="en-US" w:eastAsia="en-US" w:bidi="en-US"/>
    </w:rPr>
  </w:style>
  <w:style w:type="character" w:customStyle="1" w:styleId="Titre3Car">
    <w:name w:val="Titre 3 Car"/>
    <w:link w:val="Titre3"/>
    <w:uiPriority w:val="9"/>
    <w:rsid w:val="006A0BC6"/>
    <w:rPr>
      <w:b/>
      <w:smallCaps/>
      <w:color w:val="1F497D"/>
      <w:spacing w:val="20"/>
      <w:sz w:val="24"/>
      <w:szCs w:val="24"/>
      <w:u w:val="single"/>
      <w:lang w:val="en-US" w:eastAsia="en-US" w:bidi="en-US"/>
    </w:rPr>
  </w:style>
  <w:style w:type="paragraph" w:styleId="Titre">
    <w:name w:val="Title"/>
    <w:aliases w:val="Car"/>
    <w:next w:val="Normal"/>
    <w:link w:val="TitreCar"/>
    <w:qFormat/>
    <w:rsid w:val="006A0BC6"/>
    <w:pPr>
      <w:spacing w:after="160"/>
      <w:contextualSpacing/>
    </w:pPr>
    <w:rPr>
      <w:smallCaps/>
      <w:color w:val="17365D"/>
      <w:spacing w:val="5"/>
      <w:sz w:val="72"/>
      <w:szCs w:val="72"/>
      <w:lang w:val="en-US" w:eastAsia="en-US" w:bidi="en-US"/>
    </w:rPr>
  </w:style>
  <w:style w:type="character" w:customStyle="1" w:styleId="TitreCar">
    <w:name w:val="Titre Car"/>
    <w:aliases w:val="Car Car"/>
    <w:link w:val="Titre"/>
    <w:rsid w:val="006A0BC6"/>
    <w:rPr>
      <w:smallCaps/>
      <w:color w:val="17365D"/>
      <w:spacing w:val="5"/>
      <w:sz w:val="72"/>
      <w:szCs w:val="72"/>
      <w:lang w:val="en-US" w:eastAsia="en-US" w:bidi="en-US"/>
    </w:rPr>
  </w:style>
  <w:style w:type="paragraph" w:styleId="Paragraphedeliste">
    <w:name w:val="List Paragraph"/>
    <w:basedOn w:val="Normal"/>
    <w:uiPriority w:val="34"/>
    <w:qFormat/>
    <w:rsid w:val="006A0BC6"/>
    <w:pPr>
      <w:spacing w:line="288" w:lineRule="auto"/>
      <w:ind w:left="720"/>
      <w:contextualSpacing/>
    </w:pPr>
    <w:rPr>
      <w:color w:val="5A5A5A"/>
      <w:szCs w:val="20"/>
      <w:lang w:val="en-US" w:eastAsia="en-US" w:bidi="en-US"/>
    </w:rPr>
  </w:style>
  <w:style w:type="paragraph" w:customStyle="1" w:styleId="Normal2">
    <w:name w:val="Normal2"/>
    <w:basedOn w:val="Normal"/>
    <w:rsid w:val="003D22B0"/>
    <w:pPr>
      <w:keepLines/>
      <w:tabs>
        <w:tab w:val="left" w:pos="567"/>
        <w:tab w:val="left" w:pos="851"/>
        <w:tab w:val="left" w:pos="1134"/>
      </w:tabs>
      <w:spacing w:line="288" w:lineRule="auto"/>
      <w:ind w:left="284" w:firstLine="284"/>
      <w:jc w:val="both"/>
    </w:pPr>
    <w:rPr>
      <w:color w:val="5A5A5A"/>
      <w:sz w:val="22"/>
      <w:szCs w:val="20"/>
      <w:lang w:val="en-US" w:eastAsia="en-US" w:bidi="en-US"/>
    </w:rPr>
  </w:style>
  <w:style w:type="character" w:styleId="Emphaseintense">
    <w:name w:val="Intense Emphasis"/>
    <w:basedOn w:val="Policepardfaut"/>
    <w:uiPriority w:val="21"/>
    <w:qFormat/>
    <w:rsid w:val="00DC4356"/>
    <w:rPr>
      <w:b/>
      <w:bCs/>
      <w:i/>
      <w:iCs/>
      <w:color w:val="4F81BD" w:themeColor="accent1"/>
    </w:rPr>
  </w:style>
  <w:style w:type="character" w:customStyle="1" w:styleId="Titre1Car">
    <w:name w:val="Titre 1 Car"/>
    <w:basedOn w:val="Policepardfaut"/>
    <w:link w:val="Titre1"/>
    <w:rsid w:val="005B5101"/>
    <w:rPr>
      <w:rFonts w:ascii="Calibri Light" w:hAnsi="Calibri Light"/>
      <w:b/>
      <w:bCs/>
      <w:kern w:val="32"/>
      <w:sz w:val="32"/>
      <w:szCs w:val="32"/>
    </w:rPr>
  </w:style>
  <w:style w:type="character" w:customStyle="1" w:styleId="Titre4Car">
    <w:name w:val="Titre 4 Car"/>
    <w:basedOn w:val="Policepardfaut"/>
    <w:link w:val="Titre4"/>
    <w:semiHidden/>
    <w:rsid w:val="005B5101"/>
    <w:rPr>
      <w:rFonts w:ascii="Calibri" w:hAnsi="Calibri"/>
      <w:b/>
      <w:bCs/>
      <w:sz w:val="28"/>
      <w:szCs w:val="28"/>
    </w:rPr>
  </w:style>
  <w:style w:type="character" w:customStyle="1" w:styleId="Titre5Car">
    <w:name w:val="Titre 5 Car"/>
    <w:basedOn w:val="Policepardfaut"/>
    <w:link w:val="Titre5"/>
    <w:semiHidden/>
    <w:rsid w:val="005B5101"/>
    <w:rPr>
      <w:rFonts w:ascii="Calibri" w:hAnsi="Calibri"/>
      <w:b/>
      <w:bCs/>
      <w:i/>
      <w:iCs/>
      <w:sz w:val="26"/>
      <w:szCs w:val="26"/>
    </w:rPr>
  </w:style>
  <w:style w:type="character" w:customStyle="1" w:styleId="Titre6Car">
    <w:name w:val="Titre 6 Car"/>
    <w:basedOn w:val="Policepardfaut"/>
    <w:link w:val="Titre6"/>
    <w:semiHidden/>
    <w:rsid w:val="005B5101"/>
    <w:rPr>
      <w:rFonts w:ascii="Calibri" w:hAnsi="Calibri"/>
      <w:b/>
      <w:bCs/>
      <w:sz w:val="22"/>
      <w:szCs w:val="22"/>
    </w:rPr>
  </w:style>
  <w:style w:type="character" w:customStyle="1" w:styleId="Titre7Car">
    <w:name w:val="Titre 7 Car"/>
    <w:basedOn w:val="Policepardfaut"/>
    <w:link w:val="Titre7"/>
    <w:semiHidden/>
    <w:rsid w:val="005B5101"/>
    <w:rPr>
      <w:rFonts w:ascii="Calibri" w:hAnsi="Calibri"/>
      <w:sz w:val="24"/>
      <w:szCs w:val="24"/>
    </w:rPr>
  </w:style>
  <w:style w:type="character" w:customStyle="1" w:styleId="Titre8Car">
    <w:name w:val="Titre 8 Car"/>
    <w:basedOn w:val="Policepardfaut"/>
    <w:link w:val="Titre8"/>
    <w:semiHidden/>
    <w:rsid w:val="005B5101"/>
    <w:rPr>
      <w:rFonts w:ascii="Calibri" w:hAnsi="Calibri"/>
      <w:i/>
      <w:iCs/>
      <w:sz w:val="24"/>
      <w:szCs w:val="24"/>
    </w:rPr>
  </w:style>
  <w:style w:type="character" w:customStyle="1" w:styleId="Titre9Car">
    <w:name w:val="Titre 9 Car"/>
    <w:basedOn w:val="Policepardfaut"/>
    <w:link w:val="Titre9"/>
    <w:semiHidden/>
    <w:rsid w:val="005B5101"/>
    <w:rPr>
      <w:rFonts w:ascii="Calibri Light" w:hAnsi="Calibri Light"/>
      <w:sz w:val="22"/>
      <w:szCs w:val="22"/>
    </w:rPr>
  </w:style>
  <w:style w:type="paragraph" w:styleId="En-tte">
    <w:name w:val="header"/>
    <w:basedOn w:val="Normal"/>
    <w:link w:val="En-tteCar"/>
    <w:rsid w:val="00806B1D"/>
    <w:pPr>
      <w:tabs>
        <w:tab w:val="center" w:pos="4536"/>
        <w:tab w:val="right" w:pos="9072"/>
      </w:tabs>
    </w:pPr>
  </w:style>
  <w:style w:type="character" w:customStyle="1" w:styleId="En-tteCar">
    <w:name w:val="En-tête Car"/>
    <w:basedOn w:val="Policepardfaut"/>
    <w:link w:val="En-tte"/>
    <w:rsid w:val="00806B1D"/>
    <w:rPr>
      <w:sz w:val="24"/>
      <w:szCs w:val="24"/>
    </w:rPr>
  </w:style>
  <w:style w:type="paragraph" w:styleId="Pieddepage">
    <w:name w:val="footer"/>
    <w:basedOn w:val="Normal"/>
    <w:link w:val="PieddepageCar"/>
    <w:uiPriority w:val="99"/>
    <w:rsid w:val="00806B1D"/>
    <w:pPr>
      <w:tabs>
        <w:tab w:val="center" w:pos="4536"/>
        <w:tab w:val="right" w:pos="9072"/>
      </w:tabs>
    </w:pPr>
  </w:style>
  <w:style w:type="character" w:customStyle="1" w:styleId="PieddepageCar">
    <w:name w:val="Pied de page Car"/>
    <w:basedOn w:val="Policepardfaut"/>
    <w:link w:val="Pieddepage"/>
    <w:uiPriority w:val="99"/>
    <w:rsid w:val="00806B1D"/>
    <w:rPr>
      <w:sz w:val="24"/>
      <w:szCs w:val="24"/>
    </w:rPr>
  </w:style>
  <w:style w:type="character" w:styleId="Lienhypertexte">
    <w:name w:val="Hyperlink"/>
    <w:basedOn w:val="Policepardfaut"/>
    <w:rsid w:val="00D2710E"/>
    <w:rPr>
      <w:color w:val="0000FF" w:themeColor="hyperlink"/>
      <w:u w:val="single"/>
    </w:rPr>
  </w:style>
  <w:style w:type="character" w:styleId="Lienhypertextesuivivisit">
    <w:name w:val="FollowedHyperlink"/>
    <w:basedOn w:val="Policepardfaut"/>
    <w:rsid w:val="00D2710E"/>
    <w:rPr>
      <w:color w:val="800080" w:themeColor="followedHyperlink"/>
      <w:u w:val="single"/>
    </w:rPr>
  </w:style>
  <w:style w:type="character" w:styleId="Accentuation">
    <w:name w:val="Emphasis"/>
    <w:basedOn w:val="Policepardfaut"/>
    <w:qFormat/>
    <w:rsid w:val="000D1C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idTexte=JORFTEXT00002461476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affichTexte.do?cidTexte=JORFTEXT000024614716&amp;dateTexte&amp;categorieLien=id" TargetMode="External"/><Relationship Id="rId12" Type="http://schemas.openxmlformats.org/officeDocument/2006/relationships/hyperlink" Target="https://www.legifrance.gouv.fr/jorf/id/JORFTEXT000000393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loda/id/JORFTEXT0000001935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onomie.gouv.fr/files/files/directions_services/daj/marches_publics/oeap/gem/nutrition/fiche-nutrition-milieu-scolaire.pdf?v=1570528746" TargetMode="External"/><Relationship Id="rId4" Type="http://schemas.openxmlformats.org/officeDocument/2006/relationships/webSettings" Target="webSettings.xml"/><Relationship Id="rId9" Type="http://schemas.openxmlformats.org/officeDocument/2006/relationships/hyperlink" Target="https://eur-lex.europa.eu/LexUriServ/LexUriServ.do?uri=OJ:L:2011:304:0018:0063:fr: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1463</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lpmf</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dc:creator>
  <cp:lastModifiedBy>christine.gerard</cp:lastModifiedBy>
  <cp:revision>13</cp:revision>
  <cp:lastPrinted>2021-01-26T08:15:00Z</cp:lastPrinted>
  <dcterms:created xsi:type="dcterms:W3CDTF">2021-01-25T08:28:00Z</dcterms:created>
  <dcterms:modified xsi:type="dcterms:W3CDTF">2023-09-22T13:30:00Z</dcterms:modified>
</cp:coreProperties>
</file>