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0D" w:rsidRPr="00BA6801" w:rsidRDefault="00364A0A" w:rsidP="00B75704">
      <w:pPr>
        <w:ind w:firstLine="0"/>
      </w:pPr>
      <w:r w:rsidRPr="00364A0A">
        <w:rPr>
          <w:noProof/>
          <w:lang w:eastAsia="fr-FR"/>
        </w:rPr>
        <w:drawing>
          <wp:inline distT="0" distB="0" distL="0" distR="0">
            <wp:extent cx="1543050" cy="82504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46950" cy="827126"/>
                    </a:xfrm>
                    <a:prstGeom prst="rect">
                      <a:avLst/>
                    </a:prstGeom>
                    <a:noFill/>
                    <a:ln w="9525">
                      <a:noFill/>
                      <a:miter lim="800000"/>
                      <a:headEnd/>
                      <a:tailEnd/>
                    </a:ln>
                  </pic:spPr>
                </pic:pic>
              </a:graphicData>
            </a:graphic>
          </wp:inline>
        </w:drawing>
      </w:r>
    </w:p>
    <w:p w:rsidR="002B7F0D" w:rsidRPr="00BA6801" w:rsidRDefault="002B7F0D" w:rsidP="00BA6801">
      <w:pPr>
        <w:jc w:val="center"/>
      </w:pPr>
    </w:p>
    <w:p w:rsidR="00B75704" w:rsidRPr="006B493C" w:rsidRDefault="00EC31BF" w:rsidP="00364A0A">
      <w:pPr>
        <w:jc w:val="center"/>
        <w:rPr>
          <w:rFonts w:ascii="Comic Sans MS" w:hAnsi="Comic Sans MS"/>
          <w:sz w:val="18"/>
          <w:szCs w:val="18"/>
        </w:rPr>
      </w:pPr>
      <w:r w:rsidRPr="006B493C">
        <w:rPr>
          <w:rFonts w:ascii="Comic Sans MS" w:hAnsi="Comic Sans MS"/>
          <w:b/>
        </w:rPr>
        <w:t>COLLEGE DAISY GEORGES MARTIN</w:t>
      </w:r>
    </w:p>
    <w:p w:rsidR="00B75704" w:rsidRPr="006B493C" w:rsidRDefault="00B75704" w:rsidP="00B75704">
      <w:pPr>
        <w:tabs>
          <w:tab w:val="left" w:pos="2268"/>
          <w:tab w:val="left" w:pos="4680"/>
        </w:tabs>
        <w:jc w:val="both"/>
        <w:rPr>
          <w:sz w:val="18"/>
          <w:szCs w:val="18"/>
        </w:rPr>
      </w:pPr>
    </w:p>
    <w:p w:rsidR="00B75704" w:rsidRPr="00EC31BF" w:rsidRDefault="00EC31BF" w:rsidP="00B75704">
      <w:pPr>
        <w:tabs>
          <w:tab w:val="left" w:pos="2268"/>
          <w:tab w:val="left" w:pos="4680"/>
        </w:tabs>
        <w:jc w:val="center"/>
        <w:rPr>
          <w:rFonts w:ascii="Comic Sans MS" w:hAnsi="Comic Sans MS"/>
          <w:sz w:val="18"/>
          <w:szCs w:val="18"/>
        </w:rPr>
      </w:pPr>
      <w:r w:rsidRPr="00EC31BF">
        <w:rPr>
          <w:rFonts w:ascii="Comic Sans MS" w:hAnsi="Comic Sans MS"/>
          <w:sz w:val="18"/>
          <w:szCs w:val="18"/>
        </w:rPr>
        <w:t xml:space="preserve">24 rue du 11 novembre 1918 –BP 22-69540 </w:t>
      </w:r>
      <w:r>
        <w:rPr>
          <w:rFonts w:ascii="Comic Sans MS" w:hAnsi="Comic Sans MS"/>
          <w:sz w:val="18"/>
          <w:szCs w:val="18"/>
        </w:rPr>
        <w:t>IRIGNY</w:t>
      </w:r>
    </w:p>
    <w:p w:rsidR="00B75704" w:rsidRPr="000764B0" w:rsidRDefault="00EC31BF" w:rsidP="00B75704">
      <w:pPr>
        <w:tabs>
          <w:tab w:val="left" w:pos="2268"/>
          <w:tab w:val="left" w:pos="4680"/>
        </w:tabs>
        <w:jc w:val="center"/>
        <w:rPr>
          <w:rFonts w:ascii="Comic Sans MS" w:hAnsi="Comic Sans MS"/>
          <w:sz w:val="18"/>
          <w:szCs w:val="18"/>
        </w:rPr>
      </w:pPr>
      <w:r>
        <w:rPr>
          <w:rFonts w:ascii="Comic Sans MS" w:hAnsi="Comic Sans MS"/>
          <w:sz w:val="18"/>
          <w:szCs w:val="18"/>
        </w:rPr>
        <w:t>Téléphone 04-78-46-22-18</w:t>
      </w:r>
      <w:r w:rsidR="00B75704" w:rsidRPr="000764B0">
        <w:rPr>
          <w:rFonts w:ascii="Comic Sans MS" w:hAnsi="Comic Sans MS"/>
          <w:sz w:val="18"/>
          <w:szCs w:val="18"/>
        </w:rPr>
        <w:t xml:space="preserve"> - Fax  04</w:t>
      </w:r>
      <w:r>
        <w:rPr>
          <w:rFonts w:ascii="Comic Sans MS" w:hAnsi="Comic Sans MS"/>
          <w:sz w:val="18"/>
          <w:szCs w:val="18"/>
        </w:rPr>
        <w:t>-78-46-27-12</w:t>
      </w:r>
      <w:r w:rsidR="00B75704" w:rsidRPr="000764B0">
        <w:rPr>
          <w:rFonts w:ascii="Comic Sans MS" w:hAnsi="Comic Sans MS"/>
          <w:sz w:val="18"/>
          <w:szCs w:val="18"/>
        </w:rPr>
        <w:t xml:space="preserve"> – Courriel </w:t>
      </w:r>
      <w:r w:rsidR="00DA39F5" w:rsidRPr="00DA39F5">
        <w:rPr>
          <w:rFonts w:ascii="Comic Sans MS" w:hAnsi="Comic Sans MS"/>
          <w:b/>
          <w:color w:val="0070C0"/>
          <w:sz w:val="18"/>
          <w:szCs w:val="18"/>
          <w:u w:val="single"/>
        </w:rPr>
        <w:t>intendant.</w:t>
      </w:r>
      <w:hyperlink r:id="rId9" w:history="1">
        <w:r w:rsidRPr="00DA39F5">
          <w:rPr>
            <w:rStyle w:val="Lienhypertexte"/>
            <w:rFonts w:ascii="Comic Sans MS" w:hAnsi="Comic Sans MS"/>
            <w:b/>
            <w:color w:val="0070C0"/>
            <w:sz w:val="18"/>
            <w:szCs w:val="18"/>
          </w:rPr>
          <w:t>0691824h@ac-lyon.fr</w:t>
        </w:r>
      </w:hyperlink>
    </w:p>
    <w:p w:rsidR="00C66C5E" w:rsidRDefault="00C66C5E" w:rsidP="00BA6801">
      <w:pPr>
        <w:jc w:val="center"/>
        <w:rPr>
          <w:rFonts w:asciiTheme="majorHAnsi" w:hAnsiTheme="majorHAnsi"/>
          <w:b/>
          <w:color w:val="1F497D" w:themeColor="text2"/>
          <w:sz w:val="36"/>
        </w:rPr>
      </w:pPr>
    </w:p>
    <w:p w:rsidR="005251C6" w:rsidRDefault="005251C6" w:rsidP="00BA6801">
      <w:pPr>
        <w:jc w:val="center"/>
        <w:rPr>
          <w:rFonts w:asciiTheme="majorHAnsi" w:hAnsiTheme="majorHAnsi"/>
          <w:b/>
          <w:color w:val="1F497D" w:themeColor="text2"/>
          <w:sz w:val="36"/>
        </w:rPr>
      </w:pPr>
    </w:p>
    <w:p w:rsidR="00B75704" w:rsidRDefault="00B75704" w:rsidP="00BA6801">
      <w:pPr>
        <w:jc w:val="center"/>
        <w:rPr>
          <w:rFonts w:asciiTheme="majorHAnsi" w:hAnsiTheme="majorHAnsi"/>
          <w:b/>
          <w:color w:val="1F497D" w:themeColor="text2"/>
          <w:sz w:val="36"/>
        </w:rPr>
      </w:pPr>
    </w:p>
    <w:p w:rsidR="00B75704" w:rsidRDefault="00B75704" w:rsidP="00BA6801">
      <w:pPr>
        <w:jc w:val="center"/>
        <w:rPr>
          <w:rFonts w:asciiTheme="majorHAnsi" w:hAnsiTheme="majorHAnsi"/>
          <w:b/>
          <w:color w:val="1F497D" w:themeColor="text2"/>
          <w:sz w:val="36"/>
        </w:rPr>
      </w:pPr>
    </w:p>
    <w:p w:rsidR="005251C6" w:rsidRPr="00BA6801" w:rsidRDefault="005251C6" w:rsidP="00BA6801">
      <w:pPr>
        <w:jc w:val="center"/>
        <w:rPr>
          <w:rFonts w:asciiTheme="majorHAnsi" w:hAnsiTheme="majorHAnsi"/>
          <w:b/>
          <w:color w:val="1F497D" w:themeColor="text2"/>
          <w:sz w:val="36"/>
        </w:rPr>
      </w:pPr>
    </w:p>
    <w:p w:rsidR="00BA6801" w:rsidRPr="00BA6801" w:rsidRDefault="001D6A41" w:rsidP="00BA6801">
      <w:pPr>
        <w:jc w:val="center"/>
        <w:rPr>
          <w:color w:val="4F81BD" w:themeColor="accent1"/>
        </w:rPr>
      </w:pPr>
      <w:r w:rsidRPr="001D6A41">
        <w:rPr>
          <w:rFonts w:asciiTheme="majorHAnsi" w:hAnsiTheme="majorHAnsi"/>
          <w:b/>
          <w:color w:val="4F81BD" w:themeColor="accent1"/>
          <w:sz w:val="44"/>
        </w:rPr>
        <w:t>CAHIER DES CLAUSES ADMINISTRATIVES ET TECHNIQUES PARTICULIERES</w:t>
      </w:r>
    </w:p>
    <w:p w:rsidR="00BA6801" w:rsidRPr="00BA6801" w:rsidRDefault="00BA6801" w:rsidP="00BA6801">
      <w:pPr>
        <w:jc w:val="center"/>
        <w:rPr>
          <w:color w:val="4F81BD" w:themeColor="accent1"/>
        </w:rPr>
      </w:pPr>
    </w:p>
    <w:p w:rsidR="00B75704" w:rsidRDefault="00B75704" w:rsidP="00BA6801">
      <w:pPr>
        <w:jc w:val="center"/>
        <w:rPr>
          <w:rFonts w:asciiTheme="majorHAnsi" w:hAnsiTheme="majorHAnsi"/>
          <w:b/>
          <w:color w:val="4F81BD" w:themeColor="accent1"/>
          <w:sz w:val="40"/>
        </w:rPr>
      </w:pPr>
    </w:p>
    <w:p w:rsidR="00B75704" w:rsidRDefault="00B75704" w:rsidP="00BA6801">
      <w:pPr>
        <w:jc w:val="center"/>
        <w:rPr>
          <w:rFonts w:asciiTheme="majorHAnsi" w:hAnsiTheme="majorHAnsi"/>
          <w:b/>
          <w:color w:val="4F81BD" w:themeColor="accent1"/>
          <w:sz w:val="40"/>
        </w:rPr>
      </w:pPr>
    </w:p>
    <w:p w:rsidR="002B7F0D" w:rsidRPr="00E82F90" w:rsidRDefault="00C66C5E" w:rsidP="00BA6801">
      <w:pPr>
        <w:jc w:val="center"/>
        <w:rPr>
          <w:rFonts w:asciiTheme="majorHAnsi" w:hAnsiTheme="majorHAnsi"/>
          <w:b/>
          <w:color w:val="4F81BD" w:themeColor="accent1"/>
          <w:sz w:val="40"/>
        </w:rPr>
      </w:pPr>
      <w:r w:rsidRPr="00E82F90">
        <w:rPr>
          <w:rFonts w:asciiTheme="majorHAnsi" w:hAnsiTheme="majorHAnsi"/>
          <w:b/>
          <w:color w:val="4F81BD" w:themeColor="accent1"/>
          <w:sz w:val="40"/>
        </w:rPr>
        <w:t xml:space="preserve">FOURNITURE </w:t>
      </w:r>
      <w:r w:rsidR="00740B47">
        <w:rPr>
          <w:rFonts w:asciiTheme="majorHAnsi" w:hAnsiTheme="majorHAnsi"/>
          <w:b/>
          <w:color w:val="4F81BD" w:themeColor="accent1"/>
          <w:sz w:val="40"/>
        </w:rPr>
        <w:t>D</w:t>
      </w:r>
      <w:r w:rsidR="006B493C">
        <w:rPr>
          <w:rFonts w:asciiTheme="majorHAnsi" w:hAnsiTheme="majorHAnsi"/>
          <w:b/>
          <w:color w:val="4F81BD" w:themeColor="accent1"/>
          <w:sz w:val="40"/>
        </w:rPr>
        <w:t>E GAZ</w:t>
      </w:r>
    </w:p>
    <w:p w:rsidR="002B7F0D" w:rsidRPr="00BA6801" w:rsidRDefault="002B7F0D" w:rsidP="00BA6801">
      <w:pPr>
        <w:jc w:val="center"/>
      </w:pPr>
    </w:p>
    <w:p w:rsidR="00DA39F5" w:rsidRDefault="00DA39F5" w:rsidP="00BA6801">
      <w:pPr>
        <w:jc w:val="center"/>
      </w:pPr>
    </w:p>
    <w:p w:rsidR="005251C6" w:rsidRDefault="005251C6" w:rsidP="00BA6801">
      <w:pPr>
        <w:jc w:val="center"/>
      </w:pPr>
    </w:p>
    <w:p w:rsidR="005251C6" w:rsidRDefault="005251C6" w:rsidP="00BA6801">
      <w:pPr>
        <w:jc w:val="center"/>
      </w:pPr>
    </w:p>
    <w:p w:rsidR="005251C6" w:rsidRPr="00BA6801" w:rsidRDefault="005251C6" w:rsidP="00BA6801">
      <w:pPr>
        <w:jc w:val="center"/>
      </w:pPr>
    </w:p>
    <w:p w:rsidR="002B7F0D" w:rsidRPr="00BA6801" w:rsidRDefault="002B7F0D" w:rsidP="00BA6801">
      <w:pPr>
        <w:jc w:val="center"/>
        <w:rPr>
          <w:rFonts w:asciiTheme="majorHAnsi" w:hAnsiTheme="majorHAnsi"/>
          <w:b/>
          <w:color w:val="7F7F7F" w:themeColor="text1" w:themeTint="80"/>
          <w:sz w:val="24"/>
        </w:rPr>
      </w:pPr>
    </w:p>
    <w:p w:rsidR="00BA6801" w:rsidRPr="00BA6801" w:rsidRDefault="00BA6801" w:rsidP="00BA6801">
      <w:pPr>
        <w:contextualSpacing/>
        <w:rPr>
          <w:rFonts w:asciiTheme="majorHAnsi" w:hAnsiTheme="majorHAnsi"/>
          <w:b/>
          <w:i/>
          <w:color w:val="7F7F7F" w:themeColor="text1" w:themeTint="80"/>
          <w:sz w:val="24"/>
        </w:rPr>
      </w:pPr>
      <w:r w:rsidRPr="00BA6801">
        <w:rPr>
          <w:rFonts w:asciiTheme="majorHAnsi" w:hAnsiTheme="majorHAnsi"/>
          <w:b/>
          <w:i/>
          <w:color w:val="7F7F7F" w:themeColor="text1" w:themeTint="80"/>
          <w:sz w:val="24"/>
        </w:rPr>
        <w:t xml:space="preserve">Marché Public de fournitures courantes et services </w:t>
      </w:r>
      <w:r>
        <w:rPr>
          <w:rFonts w:asciiTheme="majorHAnsi" w:hAnsiTheme="majorHAnsi"/>
          <w:b/>
          <w:i/>
          <w:color w:val="7F7F7F" w:themeColor="text1" w:themeTint="80"/>
          <w:sz w:val="24"/>
        </w:rPr>
        <w:t xml:space="preserve">- </w:t>
      </w:r>
    </w:p>
    <w:p w:rsidR="00BA6801" w:rsidRPr="00BA6801" w:rsidRDefault="002B7F0D" w:rsidP="00BA6801">
      <w:pPr>
        <w:contextualSpacing/>
        <w:rPr>
          <w:rFonts w:asciiTheme="majorHAnsi" w:hAnsiTheme="majorHAnsi"/>
          <w:b/>
          <w:i/>
          <w:color w:val="7F7F7F" w:themeColor="text1" w:themeTint="80"/>
          <w:sz w:val="24"/>
        </w:rPr>
      </w:pPr>
      <w:r w:rsidRPr="00BA6801">
        <w:rPr>
          <w:rFonts w:asciiTheme="majorHAnsi" w:hAnsiTheme="majorHAnsi"/>
          <w:b/>
          <w:i/>
          <w:color w:val="7F7F7F" w:themeColor="text1" w:themeTint="80"/>
          <w:sz w:val="24"/>
        </w:rPr>
        <w:t>Procédure adaptée en application de l'article 28 du Code des Marchés Publics</w:t>
      </w:r>
      <w:r w:rsidR="00BA6801" w:rsidRPr="00BA6801">
        <w:rPr>
          <w:rFonts w:asciiTheme="majorHAnsi" w:hAnsiTheme="majorHAnsi"/>
          <w:b/>
          <w:i/>
          <w:color w:val="7F7F7F" w:themeColor="text1" w:themeTint="80"/>
          <w:sz w:val="24"/>
        </w:rPr>
        <w:t xml:space="preserve">  </w:t>
      </w:r>
      <w:r w:rsidRPr="00BA6801">
        <w:rPr>
          <w:rFonts w:asciiTheme="majorHAnsi" w:hAnsiTheme="majorHAnsi"/>
          <w:b/>
          <w:i/>
          <w:color w:val="7F7F7F" w:themeColor="text1" w:themeTint="80"/>
          <w:sz w:val="24"/>
        </w:rPr>
        <w:t>(décret n° 2011-1000 du 25 août 2011).</w:t>
      </w:r>
      <w:r w:rsidR="00BA6801" w:rsidRPr="00BA6801">
        <w:rPr>
          <w:rFonts w:asciiTheme="majorHAnsi" w:hAnsiTheme="majorHAnsi"/>
          <w:b/>
          <w:i/>
          <w:color w:val="7F7F7F" w:themeColor="text1" w:themeTint="80"/>
          <w:sz w:val="24"/>
        </w:rPr>
        <w:t xml:space="preserve"> </w:t>
      </w:r>
    </w:p>
    <w:p w:rsidR="00DA39F5" w:rsidRDefault="00BA6801" w:rsidP="00150046">
      <w:pPr>
        <w:pStyle w:val="TM1"/>
        <w:tabs>
          <w:tab w:val="right" w:leader="dot" w:pos="9062"/>
        </w:tabs>
        <w:rPr>
          <w:b/>
          <w:color w:val="7F7F7F" w:themeColor="text1" w:themeTint="80"/>
          <w:sz w:val="24"/>
        </w:rPr>
      </w:pPr>
      <w:r w:rsidRPr="00BA6801">
        <w:rPr>
          <w:b/>
          <w:color w:val="7F7F7F" w:themeColor="text1" w:themeTint="80"/>
          <w:sz w:val="24"/>
        </w:rPr>
        <w:br w:type="page"/>
      </w:r>
    </w:p>
    <w:sdt>
      <w:sdtPr>
        <w:rPr>
          <w:rFonts w:eastAsiaTheme="minorHAnsi"/>
        </w:rPr>
        <w:id w:val="-239636759"/>
        <w:docPartObj>
          <w:docPartGallery w:val="Table of Contents"/>
          <w:docPartUnique/>
        </w:docPartObj>
      </w:sdtPr>
      <w:sdtEndPr>
        <w:rPr>
          <w:rFonts w:eastAsiaTheme="minorEastAsia"/>
        </w:rPr>
      </w:sdtEndPr>
      <w:sdtContent>
        <w:p w:rsidR="00150046" w:rsidRDefault="00150046" w:rsidP="00DA39F5">
          <w:pPr>
            <w:jc w:val="center"/>
            <w:rPr>
              <w:noProof/>
              <w:lang w:eastAsia="fr-FR"/>
            </w:rPr>
          </w:pPr>
          <w:r>
            <w:rPr>
              <w:noProof/>
              <w:lang w:eastAsia="fr-FR"/>
            </w:rPr>
            <w:t xml:space="preserve"> </w:t>
          </w:r>
        </w:p>
        <w:p w:rsidR="00273DC7" w:rsidRDefault="00C4377D"/>
      </w:sdtContent>
    </w:sdt>
    <w:p w:rsidR="00BA6801" w:rsidRPr="00E82F90" w:rsidRDefault="00667C70" w:rsidP="00923A22">
      <w:pPr>
        <w:pStyle w:val="Titre1"/>
        <w:spacing w:before="0" w:after="120"/>
        <w:contextualSpacing/>
        <w:rPr>
          <w:sz w:val="32"/>
        </w:rPr>
      </w:pPr>
      <w:bookmarkStart w:id="0" w:name="_Toc420499587"/>
      <w:r w:rsidRPr="00E82F90">
        <w:rPr>
          <w:sz w:val="32"/>
        </w:rPr>
        <w:t xml:space="preserve">Article 1. </w:t>
      </w:r>
      <w:r w:rsidR="001D6A41">
        <w:rPr>
          <w:sz w:val="32"/>
        </w:rPr>
        <w:t>Désignation des parties</w:t>
      </w:r>
      <w:bookmarkEnd w:id="0"/>
      <w:r w:rsidR="001D6A41">
        <w:rPr>
          <w:sz w:val="32"/>
        </w:rPr>
        <w:t xml:space="preserve"> </w:t>
      </w:r>
    </w:p>
    <w:p w:rsidR="00667C70" w:rsidRPr="001D6A41" w:rsidRDefault="00667C70" w:rsidP="001D6A41">
      <w:pPr>
        <w:spacing w:after="240"/>
        <w:contextualSpacing/>
        <w:rPr>
          <w:sz w:val="32"/>
        </w:rPr>
      </w:pPr>
    </w:p>
    <w:p w:rsidR="001D6A41" w:rsidRDefault="001D6A41" w:rsidP="001D6A41">
      <w:pPr>
        <w:spacing w:after="240"/>
        <w:contextualSpacing/>
        <w:jc w:val="both"/>
        <w:rPr>
          <w:sz w:val="24"/>
        </w:rPr>
      </w:pPr>
      <w:r w:rsidRPr="001D6A41">
        <w:rPr>
          <w:sz w:val="24"/>
        </w:rPr>
        <w:t>Les parties contractantes sont :</w:t>
      </w:r>
    </w:p>
    <w:p w:rsidR="00150046" w:rsidRPr="001D6A41" w:rsidRDefault="00150046" w:rsidP="001D6A41">
      <w:pPr>
        <w:spacing w:after="240"/>
        <w:contextualSpacing/>
        <w:jc w:val="both"/>
        <w:rPr>
          <w:sz w:val="24"/>
        </w:rPr>
      </w:pPr>
    </w:p>
    <w:p w:rsidR="001D6A41" w:rsidRDefault="00740B47" w:rsidP="001D6A41">
      <w:pPr>
        <w:spacing w:after="240"/>
        <w:ind w:firstLine="708"/>
        <w:contextualSpacing/>
        <w:jc w:val="both"/>
        <w:rPr>
          <w:sz w:val="24"/>
        </w:rPr>
      </w:pPr>
      <w:r>
        <w:rPr>
          <w:sz w:val="24"/>
        </w:rPr>
        <w:t xml:space="preserve">Le Collège </w:t>
      </w:r>
      <w:r w:rsidR="00EC31BF">
        <w:rPr>
          <w:sz w:val="24"/>
        </w:rPr>
        <w:t>Daisy Georges Martin</w:t>
      </w:r>
      <w:r w:rsidR="001D6A41" w:rsidRPr="001D6A41">
        <w:rPr>
          <w:sz w:val="24"/>
        </w:rPr>
        <w:t xml:space="preserve"> </w:t>
      </w:r>
      <w:r>
        <w:rPr>
          <w:sz w:val="24"/>
        </w:rPr>
        <w:t>représenté</w:t>
      </w:r>
      <w:r w:rsidR="001D6A41" w:rsidRPr="001D6A41">
        <w:rPr>
          <w:sz w:val="24"/>
        </w:rPr>
        <w:t xml:space="preserve"> par </w:t>
      </w:r>
      <w:r w:rsidR="00EC31BF">
        <w:rPr>
          <w:sz w:val="24"/>
        </w:rPr>
        <w:t xml:space="preserve">Madame </w:t>
      </w:r>
      <w:r w:rsidR="00897EE9">
        <w:rPr>
          <w:sz w:val="24"/>
        </w:rPr>
        <w:t>Céline DHULST</w:t>
      </w:r>
      <w:r w:rsidR="001D6A41" w:rsidRPr="001D6A41">
        <w:rPr>
          <w:sz w:val="24"/>
        </w:rPr>
        <w:t>,</w:t>
      </w:r>
      <w:r w:rsidR="00B75704">
        <w:rPr>
          <w:sz w:val="24"/>
        </w:rPr>
        <w:t xml:space="preserve"> Principal</w:t>
      </w:r>
      <w:r w:rsidR="00EC31BF">
        <w:rPr>
          <w:sz w:val="24"/>
        </w:rPr>
        <w:t>e</w:t>
      </w:r>
      <w:r w:rsidR="00B75704">
        <w:rPr>
          <w:sz w:val="24"/>
        </w:rPr>
        <w:t>,</w:t>
      </w:r>
      <w:r w:rsidR="001D6A41" w:rsidRPr="001D6A41">
        <w:rPr>
          <w:sz w:val="24"/>
        </w:rPr>
        <w:t xml:space="preserve"> d’une part,</w:t>
      </w:r>
      <w:r w:rsidR="001D6A41">
        <w:rPr>
          <w:sz w:val="24"/>
        </w:rPr>
        <w:t xml:space="preserve"> </w:t>
      </w:r>
    </w:p>
    <w:p w:rsidR="00923A22" w:rsidRPr="001D6A41" w:rsidRDefault="001D6A41" w:rsidP="001D6A41">
      <w:pPr>
        <w:spacing w:after="240"/>
        <w:ind w:firstLine="708"/>
        <w:contextualSpacing/>
        <w:jc w:val="both"/>
        <w:rPr>
          <w:sz w:val="24"/>
        </w:rPr>
      </w:pPr>
      <w:proofErr w:type="gramStart"/>
      <w:r w:rsidRPr="001D6A41">
        <w:rPr>
          <w:sz w:val="24"/>
        </w:rPr>
        <w:t>le</w:t>
      </w:r>
      <w:proofErr w:type="gramEnd"/>
      <w:r w:rsidRPr="001D6A41">
        <w:rPr>
          <w:sz w:val="24"/>
        </w:rPr>
        <w:t xml:space="preserve"> titulaire du marché au sens de l’article 2-1 du CCAG, désigné dans l’acte d’engagement, d’autre</w:t>
      </w:r>
      <w:r>
        <w:rPr>
          <w:sz w:val="24"/>
        </w:rPr>
        <w:t xml:space="preserve"> </w:t>
      </w:r>
      <w:r w:rsidRPr="001D6A41">
        <w:rPr>
          <w:sz w:val="24"/>
        </w:rPr>
        <w:t>part</w:t>
      </w:r>
      <w:r w:rsidR="009E236E" w:rsidRPr="001D6A41">
        <w:rPr>
          <w:sz w:val="24"/>
        </w:rPr>
        <w:t>.</w:t>
      </w:r>
    </w:p>
    <w:p w:rsidR="001D6A41" w:rsidRDefault="001D6A41" w:rsidP="001D6A41">
      <w:pPr>
        <w:jc w:val="both"/>
      </w:pPr>
    </w:p>
    <w:p w:rsidR="00640052" w:rsidRPr="009E236E" w:rsidRDefault="00640052" w:rsidP="001D6A41">
      <w:pPr>
        <w:jc w:val="both"/>
      </w:pPr>
    </w:p>
    <w:p w:rsidR="00667C70" w:rsidRDefault="00667C70" w:rsidP="00923A22">
      <w:pPr>
        <w:pStyle w:val="Titre1"/>
        <w:spacing w:before="0" w:after="120"/>
        <w:contextualSpacing/>
        <w:rPr>
          <w:sz w:val="32"/>
        </w:rPr>
      </w:pPr>
      <w:bookmarkStart w:id="1" w:name="_Toc420499588"/>
      <w:r w:rsidRPr="00E82F90">
        <w:rPr>
          <w:sz w:val="32"/>
        </w:rPr>
        <w:t xml:space="preserve">Article 2. </w:t>
      </w:r>
      <w:r w:rsidR="00703637">
        <w:rPr>
          <w:sz w:val="32"/>
        </w:rPr>
        <w:t>Contenu</w:t>
      </w:r>
      <w:r w:rsidR="001D6A41">
        <w:rPr>
          <w:sz w:val="32"/>
        </w:rPr>
        <w:t xml:space="preserve"> du marché</w:t>
      </w:r>
      <w:bookmarkEnd w:id="1"/>
      <w:r w:rsidR="001D6A41">
        <w:rPr>
          <w:sz w:val="32"/>
        </w:rPr>
        <w:t xml:space="preserve"> </w:t>
      </w:r>
    </w:p>
    <w:p w:rsidR="00640052" w:rsidRPr="00640052" w:rsidRDefault="00640052" w:rsidP="00640052"/>
    <w:p w:rsidR="00667C70" w:rsidRDefault="00667C70" w:rsidP="00E82F90">
      <w:pPr>
        <w:pStyle w:val="Titre2"/>
        <w:spacing w:before="0" w:after="120"/>
        <w:ind w:firstLine="708"/>
        <w:contextualSpacing/>
        <w:rPr>
          <w:sz w:val="28"/>
        </w:rPr>
      </w:pPr>
      <w:bookmarkStart w:id="2" w:name="_Toc420499589"/>
      <w:r w:rsidRPr="00E82F90">
        <w:rPr>
          <w:sz w:val="28"/>
        </w:rPr>
        <w:t xml:space="preserve">2.1 </w:t>
      </w:r>
      <w:r w:rsidR="00703637">
        <w:rPr>
          <w:sz w:val="28"/>
        </w:rPr>
        <w:t>Objet du marché</w:t>
      </w:r>
      <w:bookmarkEnd w:id="2"/>
    </w:p>
    <w:p w:rsidR="00433249" w:rsidRPr="00433249" w:rsidRDefault="00433249" w:rsidP="00433249"/>
    <w:p w:rsidR="00703637" w:rsidRPr="009E236E" w:rsidRDefault="00703637" w:rsidP="00703637">
      <w:pPr>
        <w:jc w:val="both"/>
        <w:rPr>
          <w:sz w:val="24"/>
        </w:rPr>
      </w:pPr>
      <w:r w:rsidRPr="009E236E">
        <w:rPr>
          <w:sz w:val="24"/>
        </w:rPr>
        <w:t xml:space="preserve">Le marché comprend la fourniture </w:t>
      </w:r>
      <w:r w:rsidR="00740B47">
        <w:rPr>
          <w:sz w:val="24"/>
        </w:rPr>
        <w:t xml:space="preserve">de </w:t>
      </w:r>
      <w:r w:rsidR="006B493C">
        <w:rPr>
          <w:sz w:val="24"/>
        </w:rPr>
        <w:t>gaz</w:t>
      </w:r>
      <w:r w:rsidR="00DA39F5">
        <w:rPr>
          <w:sz w:val="24"/>
        </w:rPr>
        <w:t xml:space="preserve"> naturel</w:t>
      </w:r>
      <w:r w:rsidRPr="009E236E">
        <w:rPr>
          <w:sz w:val="24"/>
        </w:rPr>
        <w:t>, l’acheminement et la livraison jusqu’au point de comptage client; il comprend également l’utilisation du réseau de transport et l’utilisation du réseau de Distribution ainsi que les conditions standards de livraison.</w:t>
      </w:r>
    </w:p>
    <w:p w:rsidR="00667C70" w:rsidRPr="00E82F90" w:rsidRDefault="00667C70" w:rsidP="00923A22">
      <w:pPr>
        <w:spacing w:after="120"/>
        <w:contextualSpacing/>
        <w:rPr>
          <w:sz w:val="24"/>
        </w:rPr>
      </w:pPr>
    </w:p>
    <w:p w:rsidR="00667C70" w:rsidRPr="00E82F90" w:rsidRDefault="00667C70" w:rsidP="00E82F90">
      <w:pPr>
        <w:pStyle w:val="Titre2"/>
        <w:spacing w:before="0" w:after="120"/>
        <w:ind w:firstLine="708"/>
        <w:contextualSpacing/>
        <w:jc w:val="both"/>
        <w:rPr>
          <w:sz w:val="28"/>
        </w:rPr>
      </w:pPr>
      <w:bookmarkStart w:id="3" w:name="_Toc420499590"/>
      <w:r w:rsidRPr="00E82F90">
        <w:rPr>
          <w:sz w:val="28"/>
        </w:rPr>
        <w:t xml:space="preserve">2.2 </w:t>
      </w:r>
      <w:r w:rsidR="00703637">
        <w:rPr>
          <w:sz w:val="28"/>
        </w:rPr>
        <w:t>Durée du marché</w:t>
      </w:r>
      <w:bookmarkEnd w:id="3"/>
    </w:p>
    <w:p w:rsidR="00B50111" w:rsidRPr="00E82F90" w:rsidRDefault="00B50111" w:rsidP="002608C3">
      <w:pPr>
        <w:spacing w:after="120"/>
        <w:contextualSpacing/>
        <w:jc w:val="both"/>
        <w:rPr>
          <w:color w:val="FF0000"/>
          <w:sz w:val="24"/>
        </w:rPr>
      </w:pPr>
    </w:p>
    <w:p w:rsidR="00667C70" w:rsidRDefault="009603FA" w:rsidP="002608C3">
      <w:pPr>
        <w:spacing w:after="120"/>
        <w:contextualSpacing/>
        <w:jc w:val="both"/>
        <w:rPr>
          <w:sz w:val="24"/>
        </w:rPr>
      </w:pPr>
      <w:r w:rsidRPr="00E82F90">
        <w:rPr>
          <w:sz w:val="24"/>
        </w:rPr>
        <w:t xml:space="preserve">La durée du marché est fixée à </w:t>
      </w:r>
      <w:r w:rsidR="004D25DD">
        <w:rPr>
          <w:sz w:val="24"/>
        </w:rPr>
        <w:t>1 an</w:t>
      </w:r>
      <w:r w:rsidRPr="00740B47">
        <w:rPr>
          <w:sz w:val="24"/>
        </w:rPr>
        <w:t xml:space="preserve"> </w:t>
      </w:r>
      <w:r w:rsidRPr="00E82F90">
        <w:rPr>
          <w:sz w:val="24"/>
        </w:rPr>
        <w:t xml:space="preserve">à compter de la date de début de la fourniture et de la livraison </w:t>
      </w:r>
      <w:r w:rsidR="00740B47">
        <w:rPr>
          <w:sz w:val="24"/>
        </w:rPr>
        <w:t xml:space="preserve">de </w:t>
      </w:r>
      <w:r w:rsidR="006B493C">
        <w:rPr>
          <w:sz w:val="24"/>
        </w:rPr>
        <w:t>gaz</w:t>
      </w:r>
      <w:r w:rsidRPr="00E82F90">
        <w:rPr>
          <w:sz w:val="24"/>
        </w:rPr>
        <w:t xml:space="preserve">. </w:t>
      </w:r>
      <w:bookmarkStart w:id="4" w:name="_GoBack"/>
      <w:bookmarkEnd w:id="4"/>
    </w:p>
    <w:p w:rsidR="00C92EDB" w:rsidRPr="00E82F90" w:rsidRDefault="00C92EDB" w:rsidP="002608C3">
      <w:pPr>
        <w:spacing w:after="120"/>
        <w:contextualSpacing/>
        <w:jc w:val="both"/>
        <w:rPr>
          <w:sz w:val="24"/>
        </w:rPr>
      </w:pPr>
    </w:p>
    <w:p w:rsidR="00667C70" w:rsidRPr="00E82F90" w:rsidRDefault="006C4990" w:rsidP="00E82F90">
      <w:pPr>
        <w:pStyle w:val="Titre2"/>
        <w:spacing w:before="0" w:after="120"/>
        <w:ind w:firstLine="708"/>
        <w:contextualSpacing/>
        <w:jc w:val="both"/>
        <w:rPr>
          <w:sz w:val="28"/>
        </w:rPr>
      </w:pPr>
      <w:bookmarkStart w:id="5" w:name="_Toc420499591"/>
      <w:r w:rsidRPr="00E82F90">
        <w:rPr>
          <w:sz w:val="28"/>
        </w:rPr>
        <w:t>2.3</w:t>
      </w:r>
      <w:r w:rsidR="00667C70" w:rsidRPr="00E82F90">
        <w:rPr>
          <w:sz w:val="28"/>
        </w:rPr>
        <w:t xml:space="preserve"> </w:t>
      </w:r>
      <w:r w:rsidR="009603FA">
        <w:rPr>
          <w:sz w:val="28"/>
        </w:rPr>
        <w:t>Décomposition en postes</w:t>
      </w:r>
      <w:bookmarkEnd w:id="5"/>
      <w:r w:rsidR="00667C70" w:rsidRPr="00E82F90">
        <w:rPr>
          <w:sz w:val="28"/>
        </w:rPr>
        <w:t xml:space="preserve"> </w:t>
      </w:r>
    </w:p>
    <w:p w:rsidR="00B50111" w:rsidRPr="00E82F90" w:rsidRDefault="00B50111" w:rsidP="002608C3">
      <w:pPr>
        <w:spacing w:after="120"/>
        <w:contextualSpacing/>
        <w:jc w:val="both"/>
        <w:rPr>
          <w:sz w:val="24"/>
        </w:rPr>
      </w:pPr>
    </w:p>
    <w:p w:rsidR="00C44219" w:rsidRDefault="009603FA" w:rsidP="00795405">
      <w:pPr>
        <w:autoSpaceDE w:val="0"/>
        <w:autoSpaceDN w:val="0"/>
        <w:adjustRightInd w:val="0"/>
        <w:jc w:val="both"/>
        <w:rPr>
          <w:sz w:val="24"/>
        </w:rPr>
      </w:pPr>
      <w:r w:rsidRPr="009603FA">
        <w:rPr>
          <w:sz w:val="24"/>
        </w:rPr>
        <w:t xml:space="preserve">L’ensemble des fournitures fait l’objet d’un marché unique </w:t>
      </w:r>
    </w:p>
    <w:p w:rsidR="00433249" w:rsidRPr="00E82F90" w:rsidRDefault="00433249" w:rsidP="009603FA">
      <w:pPr>
        <w:spacing w:after="120"/>
        <w:ind w:firstLine="708"/>
        <w:contextualSpacing/>
        <w:jc w:val="both"/>
        <w:rPr>
          <w:sz w:val="24"/>
        </w:rPr>
      </w:pPr>
    </w:p>
    <w:p w:rsidR="00C44219" w:rsidRPr="00E82F90" w:rsidRDefault="00C44219" w:rsidP="00E82F90">
      <w:pPr>
        <w:pStyle w:val="Titre2"/>
        <w:ind w:firstLine="708"/>
        <w:jc w:val="both"/>
        <w:rPr>
          <w:sz w:val="28"/>
        </w:rPr>
      </w:pPr>
      <w:bookmarkStart w:id="6" w:name="_Toc420499592"/>
      <w:r w:rsidRPr="00E82F90">
        <w:rPr>
          <w:sz w:val="28"/>
        </w:rPr>
        <w:t xml:space="preserve">2.4  </w:t>
      </w:r>
      <w:r w:rsidR="00881C05" w:rsidRPr="00881C05">
        <w:rPr>
          <w:sz w:val="28"/>
        </w:rPr>
        <w:t>Date de commencement d’exécution de la prestation</w:t>
      </w:r>
      <w:bookmarkEnd w:id="6"/>
    </w:p>
    <w:p w:rsidR="00B50111" w:rsidRPr="00E82F90" w:rsidRDefault="00B50111" w:rsidP="002608C3">
      <w:pPr>
        <w:jc w:val="both"/>
        <w:rPr>
          <w:sz w:val="24"/>
        </w:rPr>
      </w:pPr>
    </w:p>
    <w:p w:rsidR="00881C05" w:rsidRPr="00E82F90" w:rsidRDefault="00881C05" w:rsidP="00881C05">
      <w:pPr>
        <w:spacing w:after="120"/>
        <w:contextualSpacing/>
        <w:jc w:val="both"/>
        <w:rPr>
          <w:sz w:val="24"/>
        </w:rPr>
      </w:pPr>
      <w:r w:rsidRPr="00E82F90">
        <w:rPr>
          <w:sz w:val="24"/>
        </w:rPr>
        <w:t xml:space="preserve">Le début de la fourniture et de la livraison </w:t>
      </w:r>
      <w:r w:rsidR="00740B47">
        <w:rPr>
          <w:sz w:val="24"/>
        </w:rPr>
        <w:t xml:space="preserve">de </w:t>
      </w:r>
      <w:r w:rsidR="006B493C">
        <w:rPr>
          <w:sz w:val="24"/>
        </w:rPr>
        <w:t>gaz</w:t>
      </w:r>
      <w:r w:rsidRPr="00E82F90">
        <w:rPr>
          <w:sz w:val="24"/>
        </w:rPr>
        <w:t xml:space="preserve"> est fixé au </w:t>
      </w:r>
      <w:r w:rsidR="00740B47" w:rsidRPr="00740B47">
        <w:rPr>
          <w:sz w:val="24"/>
        </w:rPr>
        <w:t>1</w:t>
      </w:r>
      <w:r w:rsidR="00740B47" w:rsidRPr="00740B47">
        <w:rPr>
          <w:sz w:val="24"/>
          <w:vertAlign w:val="superscript"/>
        </w:rPr>
        <w:t>er</w:t>
      </w:r>
      <w:r w:rsidR="00740B47" w:rsidRPr="00740B47">
        <w:rPr>
          <w:sz w:val="24"/>
        </w:rPr>
        <w:t xml:space="preserve"> </w:t>
      </w:r>
      <w:r w:rsidR="006B493C">
        <w:rPr>
          <w:sz w:val="24"/>
        </w:rPr>
        <w:t>octobre</w:t>
      </w:r>
      <w:r w:rsidR="00897EE9">
        <w:rPr>
          <w:sz w:val="24"/>
        </w:rPr>
        <w:t xml:space="preserve"> 2022</w:t>
      </w:r>
    </w:p>
    <w:p w:rsidR="00273DC7" w:rsidRPr="00E82F90" w:rsidRDefault="00273DC7" w:rsidP="002608C3">
      <w:pPr>
        <w:jc w:val="both"/>
        <w:rPr>
          <w:sz w:val="24"/>
        </w:rPr>
      </w:pPr>
    </w:p>
    <w:p w:rsidR="00150046" w:rsidRDefault="00150046" w:rsidP="002608C3">
      <w:pPr>
        <w:pStyle w:val="Titre1"/>
        <w:jc w:val="both"/>
        <w:rPr>
          <w:sz w:val="32"/>
        </w:rPr>
      </w:pPr>
      <w:bookmarkStart w:id="7" w:name="_Toc420499593"/>
    </w:p>
    <w:p w:rsidR="00DD7689" w:rsidRDefault="00DD7689" w:rsidP="00DD7689"/>
    <w:p w:rsidR="00DD7689" w:rsidRPr="00DD7689" w:rsidRDefault="00DD7689" w:rsidP="00DD7689"/>
    <w:p w:rsidR="00273DC7" w:rsidRPr="00E82F90" w:rsidRDefault="00273DC7" w:rsidP="002608C3">
      <w:pPr>
        <w:pStyle w:val="Titre1"/>
        <w:jc w:val="both"/>
        <w:rPr>
          <w:sz w:val="32"/>
        </w:rPr>
      </w:pPr>
      <w:r w:rsidRPr="00E82F90">
        <w:rPr>
          <w:sz w:val="32"/>
        </w:rPr>
        <w:lastRenderedPageBreak/>
        <w:t xml:space="preserve">Article 3. </w:t>
      </w:r>
      <w:bookmarkEnd w:id="7"/>
      <w:r w:rsidR="00150046">
        <w:rPr>
          <w:sz w:val="32"/>
        </w:rPr>
        <w:t>Documents contractuels</w:t>
      </w:r>
    </w:p>
    <w:p w:rsidR="00881C05" w:rsidRDefault="00881C05" w:rsidP="00881C05">
      <w:pPr>
        <w:jc w:val="both"/>
        <w:rPr>
          <w:sz w:val="24"/>
        </w:rPr>
      </w:pPr>
      <w:r w:rsidRPr="00881C05">
        <w:rPr>
          <w:sz w:val="24"/>
        </w:rPr>
        <w:t>Le marché est constitué par les documents contractuels énumérés ci-dessous</w:t>
      </w:r>
      <w:r w:rsidR="00433249">
        <w:rPr>
          <w:sz w:val="24"/>
        </w:rPr>
        <w:t>.</w:t>
      </w:r>
    </w:p>
    <w:p w:rsidR="00433249" w:rsidRPr="00881C05" w:rsidRDefault="00433249" w:rsidP="00881C05">
      <w:pPr>
        <w:jc w:val="both"/>
        <w:rPr>
          <w:sz w:val="32"/>
        </w:rPr>
      </w:pPr>
    </w:p>
    <w:p w:rsidR="002608C3" w:rsidRPr="00E82F90" w:rsidRDefault="002608C3" w:rsidP="00E82F90">
      <w:pPr>
        <w:pStyle w:val="Titre2"/>
        <w:ind w:firstLine="708"/>
        <w:rPr>
          <w:sz w:val="28"/>
        </w:rPr>
      </w:pPr>
      <w:bookmarkStart w:id="8" w:name="_Toc420499594"/>
      <w:r w:rsidRPr="00E82F90">
        <w:rPr>
          <w:sz w:val="28"/>
        </w:rPr>
        <w:t xml:space="preserve">3.1 </w:t>
      </w:r>
      <w:r w:rsidR="00881C05">
        <w:rPr>
          <w:sz w:val="28"/>
        </w:rPr>
        <w:t>Pièces particulières</w:t>
      </w:r>
      <w:bookmarkEnd w:id="8"/>
    </w:p>
    <w:p w:rsidR="00881C05" w:rsidRDefault="00881C05" w:rsidP="00881C05">
      <w:pPr>
        <w:contextualSpacing/>
        <w:jc w:val="both"/>
        <w:rPr>
          <w:sz w:val="24"/>
        </w:rPr>
      </w:pPr>
    </w:p>
    <w:p w:rsidR="00881C05" w:rsidRPr="00881C05" w:rsidRDefault="00881C05" w:rsidP="00881C05">
      <w:pPr>
        <w:pStyle w:val="Paragraphedeliste"/>
        <w:numPr>
          <w:ilvl w:val="0"/>
          <w:numId w:val="4"/>
        </w:numPr>
        <w:jc w:val="both"/>
        <w:rPr>
          <w:sz w:val="24"/>
        </w:rPr>
      </w:pPr>
      <w:r w:rsidRPr="00881C05">
        <w:rPr>
          <w:sz w:val="24"/>
        </w:rPr>
        <w:t>l’offre fi</w:t>
      </w:r>
      <w:r w:rsidR="00795405">
        <w:rPr>
          <w:sz w:val="24"/>
        </w:rPr>
        <w:t>nancière détaillée du titulaire.</w:t>
      </w:r>
    </w:p>
    <w:p w:rsidR="00881C05" w:rsidRPr="00881C05" w:rsidRDefault="00881C05" w:rsidP="00881C05">
      <w:pPr>
        <w:pStyle w:val="Paragraphedeliste"/>
        <w:numPr>
          <w:ilvl w:val="0"/>
          <w:numId w:val="4"/>
        </w:numPr>
        <w:jc w:val="both"/>
        <w:rPr>
          <w:b/>
          <w:bCs/>
          <w:sz w:val="24"/>
        </w:rPr>
      </w:pPr>
      <w:r w:rsidRPr="00881C05">
        <w:rPr>
          <w:sz w:val="24"/>
        </w:rPr>
        <w:t xml:space="preserve">Le présent Cahier des Clauses Administratives(CCAP) et Techniques Particulières (CCTP). </w:t>
      </w:r>
    </w:p>
    <w:p w:rsidR="002608C3" w:rsidRPr="00E82F90" w:rsidRDefault="002608C3" w:rsidP="00E82F90">
      <w:pPr>
        <w:pStyle w:val="Titre2"/>
        <w:ind w:firstLine="708"/>
        <w:rPr>
          <w:sz w:val="28"/>
        </w:rPr>
      </w:pPr>
      <w:bookmarkStart w:id="9" w:name="_Toc420499595"/>
      <w:r w:rsidRPr="00E82F90">
        <w:rPr>
          <w:sz w:val="28"/>
        </w:rPr>
        <w:t xml:space="preserve">3.2 Pièces </w:t>
      </w:r>
      <w:r w:rsidR="00881C05">
        <w:rPr>
          <w:sz w:val="28"/>
        </w:rPr>
        <w:t>générales</w:t>
      </w:r>
      <w:bookmarkEnd w:id="9"/>
    </w:p>
    <w:p w:rsidR="00B50111" w:rsidRPr="00E82F90" w:rsidRDefault="00B50111" w:rsidP="00C82898"/>
    <w:p w:rsidR="00881C05" w:rsidRPr="00C82898" w:rsidRDefault="00881C05" w:rsidP="00C82898">
      <w:pPr>
        <w:pStyle w:val="Paragraphedeliste"/>
        <w:numPr>
          <w:ilvl w:val="0"/>
          <w:numId w:val="4"/>
        </w:numPr>
        <w:jc w:val="both"/>
        <w:rPr>
          <w:sz w:val="24"/>
        </w:rPr>
      </w:pPr>
      <w:r w:rsidRPr="00C82898">
        <w:rPr>
          <w:sz w:val="24"/>
        </w:rPr>
        <w:t xml:space="preserve">Le Cahier des Clauses Administratives Générales(CCAG), applicables aux marchés publics de fournitures courantes et de services </w:t>
      </w:r>
    </w:p>
    <w:p w:rsidR="00881C05" w:rsidRPr="00C82898" w:rsidRDefault="00881C05" w:rsidP="00C82898">
      <w:pPr>
        <w:pStyle w:val="Paragraphedeliste"/>
        <w:numPr>
          <w:ilvl w:val="0"/>
          <w:numId w:val="4"/>
        </w:numPr>
        <w:jc w:val="both"/>
        <w:rPr>
          <w:sz w:val="24"/>
        </w:rPr>
      </w:pPr>
      <w:r w:rsidRPr="00C82898">
        <w:rPr>
          <w:sz w:val="24"/>
        </w:rPr>
        <w:t xml:space="preserve">Les normes françaises homologuées </w:t>
      </w:r>
    </w:p>
    <w:p w:rsidR="00881C05" w:rsidRPr="00C82898" w:rsidRDefault="00881C05" w:rsidP="00C82898">
      <w:pPr>
        <w:pStyle w:val="Paragraphedeliste"/>
        <w:jc w:val="both"/>
        <w:rPr>
          <w:sz w:val="24"/>
        </w:rPr>
      </w:pPr>
    </w:p>
    <w:p w:rsidR="00881C05" w:rsidRPr="00C82898" w:rsidRDefault="00881C05" w:rsidP="00C82898">
      <w:pPr>
        <w:rPr>
          <w:sz w:val="24"/>
        </w:rPr>
      </w:pPr>
      <w:r w:rsidRPr="00C82898">
        <w:rPr>
          <w:sz w:val="24"/>
        </w:rPr>
        <w:t xml:space="preserve">Le titulaire ne pourra se prévaloir, dans l’exercice de sa mission, d’une quelconque </w:t>
      </w:r>
      <w:r w:rsidRPr="00C82898">
        <w:rPr>
          <w:b/>
          <w:bCs/>
          <w:sz w:val="24"/>
        </w:rPr>
        <w:t>i</w:t>
      </w:r>
      <w:r w:rsidRPr="00C82898">
        <w:rPr>
          <w:sz w:val="24"/>
        </w:rPr>
        <w:t xml:space="preserve">gnorance de ces textes, et, d’une manière générale, de toute la réglementation intéressant son activité ou les installations concernées. </w:t>
      </w:r>
    </w:p>
    <w:p w:rsidR="002608C3" w:rsidRPr="00C82898" w:rsidRDefault="00881C05" w:rsidP="00C82898">
      <w:pPr>
        <w:rPr>
          <w:b/>
          <w:bCs/>
          <w:sz w:val="24"/>
        </w:rPr>
      </w:pPr>
      <w:r w:rsidRPr="00C82898">
        <w:rPr>
          <w:sz w:val="24"/>
        </w:rPr>
        <w:t>L’ensemble de la fourniture doit être conforme aux prescriptions des décrets, arrêtés, règlements, normalisation et à celles de tous textes subséquents en vigueur au premier jour du mois d’exécution des prestations.</w:t>
      </w:r>
    </w:p>
    <w:p w:rsidR="00881C05" w:rsidRPr="00881C05" w:rsidRDefault="00881C05" w:rsidP="00881C05"/>
    <w:p w:rsidR="00640052" w:rsidRDefault="00B50111" w:rsidP="00B50111">
      <w:pPr>
        <w:pStyle w:val="Titre1"/>
        <w:rPr>
          <w:sz w:val="32"/>
        </w:rPr>
      </w:pPr>
      <w:bookmarkStart w:id="10" w:name="_Toc420499596"/>
      <w:r w:rsidRPr="00E82F90">
        <w:rPr>
          <w:sz w:val="32"/>
        </w:rPr>
        <w:t xml:space="preserve">Article 4. </w:t>
      </w:r>
      <w:r w:rsidR="00640052">
        <w:rPr>
          <w:sz w:val="32"/>
        </w:rPr>
        <w:t>Lieu de livraison de la fourniture</w:t>
      </w:r>
      <w:bookmarkEnd w:id="10"/>
    </w:p>
    <w:p w:rsidR="00640052" w:rsidRDefault="00640052" w:rsidP="00640052">
      <w:pPr>
        <w:rPr>
          <w:sz w:val="24"/>
        </w:rPr>
      </w:pPr>
    </w:p>
    <w:p w:rsidR="00B50111" w:rsidRDefault="00C92EDB" w:rsidP="00640052">
      <w:pPr>
        <w:jc w:val="both"/>
        <w:rPr>
          <w:sz w:val="24"/>
        </w:rPr>
      </w:pPr>
      <w:r>
        <w:rPr>
          <w:sz w:val="24"/>
        </w:rPr>
        <w:t>Le gaz</w:t>
      </w:r>
      <w:r w:rsidR="00B75704">
        <w:rPr>
          <w:sz w:val="24"/>
        </w:rPr>
        <w:t xml:space="preserve"> </w:t>
      </w:r>
      <w:r w:rsidR="00640052" w:rsidRPr="00640052">
        <w:rPr>
          <w:sz w:val="24"/>
        </w:rPr>
        <w:t xml:space="preserve">vendu par le titulaire est destiné aux points de livraisons </w:t>
      </w:r>
      <w:r w:rsidR="00740B47">
        <w:rPr>
          <w:sz w:val="24"/>
        </w:rPr>
        <w:t xml:space="preserve">ci-dessous : </w:t>
      </w:r>
    </w:p>
    <w:p w:rsidR="002608C3" w:rsidRPr="00E82F90" w:rsidRDefault="002608C3" w:rsidP="00740B47">
      <w:pPr>
        <w:ind w:firstLine="0"/>
        <w:jc w:val="both"/>
        <w:rPr>
          <w:sz w:val="24"/>
        </w:rPr>
      </w:pPr>
    </w:p>
    <w:p w:rsidR="003A1009" w:rsidRDefault="003A1009" w:rsidP="00955F79">
      <w:pPr>
        <w:jc w:val="both"/>
        <w:rPr>
          <w:sz w:val="24"/>
        </w:rPr>
      </w:pPr>
    </w:p>
    <w:tbl>
      <w:tblPr>
        <w:tblStyle w:val="Listeclaire-Accent1"/>
        <w:tblW w:w="7763" w:type="dxa"/>
        <w:tblLook w:val="04A0"/>
      </w:tblPr>
      <w:tblGrid>
        <w:gridCol w:w="3510"/>
        <w:gridCol w:w="4253"/>
      </w:tblGrid>
      <w:tr w:rsidR="00DA39F5" w:rsidTr="00DA39F5">
        <w:trPr>
          <w:cnfStyle w:val="100000000000"/>
          <w:trHeight w:val="322"/>
        </w:trPr>
        <w:tc>
          <w:tcPr>
            <w:cnfStyle w:val="001000000000"/>
            <w:tcW w:w="3510" w:type="dxa"/>
            <w:tcBorders>
              <w:right w:val="single" w:sz="4" w:space="0" w:color="4F81BD" w:themeColor="accent1"/>
            </w:tcBorders>
          </w:tcPr>
          <w:p w:rsidR="00DA39F5" w:rsidRPr="00640052" w:rsidRDefault="00DA39F5" w:rsidP="00640052">
            <w:pPr>
              <w:jc w:val="center"/>
              <w:rPr>
                <w:sz w:val="28"/>
              </w:rPr>
            </w:pPr>
            <w:r w:rsidRPr="00640052">
              <w:rPr>
                <w:sz w:val="28"/>
              </w:rPr>
              <w:t>Etablissement</w:t>
            </w:r>
          </w:p>
        </w:tc>
        <w:tc>
          <w:tcPr>
            <w:tcW w:w="4253" w:type="dxa"/>
            <w:tcBorders>
              <w:left w:val="single" w:sz="4" w:space="0" w:color="4F81BD" w:themeColor="accent1"/>
            </w:tcBorders>
          </w:tcPr>
          <w:p w:rsidR="00DA39F5" w:rsidRPr="00640052" w:rsidRDefault="00DA39F5" w:rsidP="00640052">
            <w:pPr>
              <w:jc w:val="center"/>
              <w:cnfStyle w:val="100000000000"/>
              <w:rPr>
                <w:sz w:val="28"/>
              </w:rPr>
            </w:pPr>
            <w:r w:rsidRPr="00640052">
              <w:rPr>
                <w:sz w:val="28"/>
              </w:rPr>
              <w:t>Adresse</w:t>
            </w:r>
          </w:p>
        </w:tc>
      </w:tr>
      <w:tr w:rsidR="00DA39F5" w:rsidRPr="005251C6" w:rsidTr="00DA39F5">
        <w:trPr>
          <w:cnfStyle w:val="000000100000"/>
          <w:trHeight w:val="258"/>
        </w:trPr>
        <w:tc>
          <w:tcPr>
            <w:cnfStyle w:val="001000000000"/>
            <w:tcW w:w="3510" w:type="dxa"/>
            <w:tcBorders>
              <w:right w:val="single" w:sz="4" w:space="0" w:color="4F81BD" w:themeColor="accent1"/>
            </w:tcBorders>
          </w:tcPr>
          <w:p w:rsidR="00DA39F5" w:rsidRPr="00DA39F5" w:rsidRDefault="00DA39F5" w:rsidP="00364A0A">
            <w:pPr>
              <w:jc w:val="center"/>
              <w:rPr>
                <w:b w:val="0"/>
                <w:i/>
                <w:lang w:val="en-US"/>
              </w:rPr>
            </w:pPr>
            <w:proofErr w:type="spellStart"/>
            <w:r w:rsidRPr="00DA39F5">
              <w:rPr>
                <w:b w:val="0"/>
                <w:i/>
                <w:lang w:val="en-US"/>
              </w:rPr>
              <w:t>Collège</w:t>
            </w:r>
            <w:proofErr w:type="spellEnd"/>
            <w:r>
              <w:rPr>
                <w:b w:val="0"/>
                <w:i/>
                <w:lang w:val="en-US"/>
              </w:rPr>
              <w:t xml:space="preserve"> </w:t>
            </w:r>
          </w:p>
          <w:p w:rsidR="00DA39F5" w:rsidRPr="00DA39F5" w:rsidRDefault="00DA39F5" w:rsidP="00364A0A">
            <w:pPr>
              <w:ind w:firstLine="0"/>
              <w:jc w:val="both"/>
              <w:rPr>
                <w:b w:val="0"/>
                <w:i/>
                <w:lang w:val="en-US"/>
              </w:rPr>
            </w:pPr>
            <w:r>
              <w:rPr>
                <w:b w:val="0"/>
                <w:i/>
                <w:lang w:val="en-US"/>
              </w:rPr>
              <w:t xml:space="preserve">                 </w:t>
            </w:r>
            <w:r w:rsidRPr="00DA39F5">
              <w:rPr>
                <w:b w:val="0"/>
                <w:i/>
                <w:lang w:val="en-US"/>
              </w:rPr>
              <w:t>Daisy Georges Martin</w:t>
            </w:r>
          </w:p>
        </w:tc>
        <w:tc>
          <w:tcPr>
            <w:tcW w:w="4253" w:type="dxa"/>
            <w:tcBorders>
              <w:left w:val="single" w:sz="4" w:space="0" w:color="4F81BD" w:themeColor="accent1"/>
            </w:tcBorders>
          </w:tcPr>
          <w:p w:rsidR="00DA39F5" w:rsidRDefault="00DA39F5" w:rsidP="00740B47">
            <w:pPr>
              <w:jc w:val="center"/>
              <w:cnfStyle w:val="000000100000"/>
              <w:rPr>
                <w:i/>
              </w:rPr>
            </w:pPr>
            <w:r>
              <w:rPr>
                <w:i/>
              </w:rPr>
              <w:t xml:space="preserve">24 </w:t>
            </w:r>
            <w:proofErr w:type="gramStart"/>
            <w:r>
              <w:rPr>
                <w:i/>
              </w:rPr>
              <w:t>rue</w:t>
            </w:r>
            <w:proofErr w:type="gramEnd"/>
            <w:r>
              <w:rPr>
                <w:i/>
              </w:rPr>
              <w:t xml:space="preserve"> du 11 novembre 1918-</w:t>
            </w:r>
          </w:p>
          <w:p w:rsidR="00DA39F5" w:rsidRDefault="00DA39F5" w:rsidP="00740B47">
            <w:pPr>
              <w:jc w:val="center"/>
              <w:cnfStyle w:val="000000100000"/>
              <w:rPr>
                <w:i/>
              </w:rPr>
            </w:pPr>
            <w:r>
              <w:rPr>
                <w:i/>
              </w:rPr>
              <w:t>BP 22</w:t>
            </w:r>
          </w:p>
          <w:p w:rsidR="00DA39F5" w:rsidRPr="005251C6" w:rsidRDefault="00DA39F5" w:rsidP="00740B47">
            <w:pPr>
              <w:jc w:val="center"/>
              <w:cnfStyle w:val="000000100000"/>
              <w:rPr>
                <w:i/>
              </w:rPr>
            </w:pPr>
            <w:r>
              <w:rPr>
                <w:i/>
              </w:rPr>
              <w:t>69540 IRIGNY</w:t>
            </w:r>
          </w:p>
        </w:tc>
      </w:tr>
    </w:tbl>
    <w:p w:rsidR="0079401A" w:rsidRDefault="0079401A" w:rsidP="0079401A">
      <w:pPr>
        <w:ind w:firstLine="0"/>
        <w:jc w:val="both"/>
        <w:rPr>
          <w:i/>
          <w:sz w:val="24"/>
        </w:rPr>
      </w:pPr>
    </w:p>
    <w:p w:rsidR="00150046" w:rsidRDefault="00150046" w:rsidP="0079401A">
      <w:pPr>
        <w:ind w:firstLine="0"/>
        <w:jc w:val="both"/>
        <w:rPr>
          <w:i/>
          <w:sz w:val="24"/>
        </w:rPr>
      </w:pPr>
    </w:p>
    <w:p w:rsidR="00150046" w:rsidRDefault="00150046" w:rsidP="0079401A">
      <w:pPr>
        <w:ind w:firstLine="0"/>
        <w:jc w:val="both"/>
        <w:rPr>
          <w:i/>
          <w:sz w:val="24"/>
        </w:rPr>
      </w:pPr>
    </w:p>
    <w:p w:rsidR="00150046" w:rsidRDefault="00150046" w:rsidP="0079401A">
      <w:pPr>
        <w:ind w:firstLine="0"/>
        <w:jc w:val="both"/>
        <w:rPr>
          <w:i/>
          <w:sz w:val="24"/>
        </w:rPr>
      </w:pPr>
    </w:p>
    <w:p w:rsidR="003D43F8" w:rsidRDefault="003D43F8" w:rsidP="0079401A">
      <w:pPr>
        <w:ind w:firstLine="0"/>
        <w:jc w:val="both"/>
        <w:rPr>
          <w:i/>
          <w:sz w:val="24"/>
        </w:rPr>
      </w:pPr>
    </w:p>
    <w:p w:rsidR="003D43F8" w:rsidRDefault="003D43F8" w:rsidP="0079401A">
      <w:pPr>
        <w:ind w:firstLine="0"/>
        <w:jc w:val="both"/>
        <w:rPr>
          <w:i/>
          <w:sz w:val="24"/>
        </w:rPr>
      </w:pPr>
    </w:p>
    <w:p w:rsidR="003D43F8" w:rsidRDefault="003D43F8" w:rsidP="0079401A">
      <w:pPr>
        <w:ind w:firstLine="0"/>
        <w:jc w:val="both"/>
        <w:rPr>
          <w:i/>
          <w:sz w:val="24"/>
        </w:rPr>
      </w:pPr>
    </w:p>
    <w:p w:rsidR="00150046" w:rsidRDefault="00150046" w:rsidP="0079401A">
      <w:pPr>
        <w:ind w:firstLine="0"/>
        <w:jc w:val="both"/>
        <w:rPr>
          <w:i/>
          <w:sz w:val="24"/>
        </w:rPr>
      </w:pPr>
    </w:p>
    <w:p w:rsidR="00DA39F5" w:rsidRPr="005251C6" w:rsidRDefault="00DA39F5" w:rsidP="0079401A">
      <w:pPr>
        <w:ind w:firstLine="0"/>
        <w:jc w:val="both"/>
        <w:rPr>
          <w:i/>
          <w:sz w:val="24"/>
        </w:rPr>
      </w:pPr>
    </w:p>
    <w:p w:rsidR="003A1009" w:rsidRPr="00E82F90" w:rsidRDefault="003A1009" w:rsidP="003A1009">
      <w:pPr>
        <w:pStyle w:val="Titre1"/>
        <w:rPr>
          <w:sz w:val="32"/>
        </w:rPr>
      </w:pPr>
      <w:bookmarkStart w:id="11" w:name="_Toc420499597"/>
      <w:r w:rsidRPr="00E82F90">
        <w:rPr>
          <w:sz w:val="32"/>
        </w:rPr>
        <w:lastRenderedPageBreak/>
        <w:t xml:space="preserve">Article 5. </w:t>
      </w:r>
      <w:r w:rsidR="00E56F6E">
        <w:rPr>
          <w:sz w:val="32"/>
        </w:rPr>
        <w:t xml:space="preserve">Volumes concernés </w:t>
      </w:r>
      <w:r w:rsidR="00CF0B13">
        <w:rPr>
          <w:sz w:val="32"/>
        </w:rPr>
        <w:t>et définition du besoin</w:t>
      </w:r>
      <w:bookmarkEnd w:id="11"/>
    </w:p>
    <w:p w:rsidR="0079401A" w:rsidRPr="00E82F90" w:rsidRDefault="0079401A" w:rsidP="0079401A">
      <w:pPr>
        <w:ind w:firstLine="0"/>
        <w:contextualSpacing/>
        <w:rPr>
          <w:sz w:val="24"/>
        </w:rPr>
      </w:pPr>
    </w:p>
    <w:p w:rsidR="003A1009" w:rsidRDefault="00E56F6E" w:rsidP="00E56F6E">
      <w:pPr>
        <w:jc w:val="both"/>
        <w:rPr>
          <w:sz w:val="24"/>
        </w:rPr>
      </w:pPr>
      <w:r w:rsidRPr="00E56F6E">
        <w:rPr>
          <w:sz w:val="24"/>
        </w:rPr>
        <w:t xml:space="preserve">Les historiques des consommations mentionnés ci-après sont donnés à titre indicatif, ils </w:t>
      </w:r>
      <w:r w:rsidRPr="00E56F6E">
        <w:rPr>
          <w:bCs/>
          <w:sz w:val="24"/>
        </w:rPr>
        <w:t>ne constituent pas un engagement de consommation</w:t>
      </w:r>
      <w:r w:rsidRPr="00E56F6E">
        <w:rPr>
          <w:sz w:val="24"/>
        </w:rPr>
        <w:t>.</w:t>
      </w:r>
      <w:r>
        <w:rPr>
          <w:sz w:val="24"/>
        </w:rPr>
        <w:t xml:space="preserve"> Ils sont désignés en </w:t>
      </w:r>
      <w:proofErr w:type="spellStart"/>
      <w:r w:rsidR="0079401A">
        <w:rPr>
          <w:sz w:val="24"/>
        </w:rPr>
        <w:t>kwh</w:t>
      </w:r>
      <w:proofErr w:type="spellEnd"/>
      <w:r w:rsidR="0079401A">
        <w:rPr>
          <w:sz w:val="24"/>
        </w:rPr>
        <w:t>.</w:t>
      </w:r>
    </w:p>
    <w:p w:rsidR="00E56F6E" w:rsidRDefault="00E56F6E" w:rsidP="00E56F6E">
      <w:pPr>
        <w:jc w:val="both"/>
        <w:rPr>
          <w:sz w:val="24"/>
        </w:rPr>
      </w:pPr>
      <w:r w:rsidRPr="00E56F6E">
        <w:rPr>
          <w:sz w:val="24"/>
        </w:rPr>
        <w:t>Il ne pourra y avoir de pénalités sous quelque forme que ce soit si la consommation annuelle n’est pas identique à la consommation indiquée dans ce marché.</w:t>
      </w:r>
    </w:p>
    <w:p w:rsidR="00150046" w:rsidRDefault="00150046" w:rsidP="00E56F6E">
      <w:pPr>
        <w:jc w:val="both"/>
        <w:rPr>
          <w:sz w:val="24"/>
        </w:rPr>
      </w:pPr>
    </w:p>
    <w:tbl>
      <w:tblPr>
        <w:tblStyle w:val="Listeclaire-Accent1"/>
        <w:tblpPr w:leftFromText="141" w:rightFromText="141" w:vertAnchor="text" w:horzAnchor="margin" w:tblpXSpec="center" w:tblpY="154"/>
        <w:tblW w:w="7468" w:type="dxa"/>
        <w:tblLook w:val="04A0"/>
      </w:tblPr>
      <w:tblGrid>
        <w:gridCol w:w="2596"/>
        <w:gridCol w:w="2474"/>
        <w:gridCol w:w="2398"/>
      </w:tblGrid>
      <w:tr w:rsidR="00897EE9" w:rsidTr="00897EE9">
        <w:trPr>
          <w:cnfStyle w:val="100000000000"/>
          <w:trHeight w:val="331"/>
        </w:trPr>
        <w:tc>
          <w:tcPr>
            <w:cnfStyle w:val="001000000000"/>
            <w:tcW w:w="2596" w:type="dxa"/>
            <w:tcBorders>
              <w:right w:val="single" w:sz="4" w:space="0" w:color="4F81BD" w:themeColor="accent1"/>
            </w:tcBorders>
          </w:tcPr>
          <w:p w:rsidR="00897EE9" w:rsidRPr="00640052" w:rsidRDefault="00897EE9" w:rsidP="006A7F3E">
            <w:pPr>
              <w:jc w:val="center"/>
              <w:rPr>
                <w:sz w:val="28"/>
              </w:rPr>
            </w:pPr>
            <w:r>
              <w:rPr>
                <w:sz w:val="28"/>
              </w:rPr>
              <w:t>Désignation</w:t>
            </w:r>
          </w:p>
        </w:tc>
        <w:tc>
          <w:tcPr>
            <w:tcW w:w="2474" w:type="dxa"/>
            <w:tcBorders>
              <w:right w:val="single" w:sz="4" w:space="0" w:color="4F81BD" w:themeColor="accent1"/>
            </w:tcBorders>
          </w:tcPr>
          <w:p w:rsidR="00897EE9" w:rsidRPr="00640052" w:rsidRDefault="00897EE9" w:rsidP="006A7F3E">
            <w:pPr>
              <w:jc w:val="center"/>
              <w:cnfStyle w:val="100000000000"/>
              <w:rPr>
                <w:sz w:val="28"/>
              </w:rPr>
            </w:pPr>
            <w:r>
              <w:rPr>
                <w:sz w:val="28"/>
              </w:rPr>
              <w:t>Consommation 2020</w:t>
            </w:r>
          </w:p>
        </w:tc>
        <w:tc>
          <w:tcPr>
            <w:tcW w:w="2398" w:type="dxa"/>
            <w:tcBorders>
              <w:left w:val="single" w:sz="4" w:space="0" w:color="4F81BD" w:themeColor="accent1"/>
              <w:right w:val="single" w:sz="4" w:space="0" w:color="4F81BD" w:themeColor="accent1"/>
            </w:tcBorders>
          </w:tcPr>
          <w:p w:rsidR="00897EE9" w:rsidRPr="00640052" w:rsidRDefault="00897EE9" w:rsidP="006A7F3E">
            <w:pPr>
              <w:jc w:val="center"/>
              <w:cnfStyle w:val="100000000000"/>
              <w:rPr>
                <w:sz w:val="28"/>
              </w:rPr>
            </w:pPr>
            <w:r>
              <w:rPr>
                <w:sz w:val="28"/>
              </w:rPr>
              <w:t>Consommation 2021</w:t>
            </w:r>
          </w:p>
        </w:tc>
      </w:tr>
      <w:tr w:rsidR="00897EE9" w:rsidRPr="005251C6" w:rsidTr="00897EE9">
        <w:trPr>
          <w:cnfStyle w:val="000000100000"/>
          <w:trHeight w:val="265"/>
        </w:trPr>
        <w:tc>
          <w:tcPr>
            <w:cnfStyle w:val="001000000000"/>
            <w:tcW w:w="2596" w:type="dxa"/>
            <w:tcBorders>
              <w:right w:val="single" w:sz="4" w:space="0" w:color="4F81BD" w:themeColor="accent1"/>
            </w:tcBorders>
          </w:tcPr>
          <w:p w:rsidR="00897EE9" w:rsidRPr="005251C6" w:rsidRDefault="00897EE9" w:rsidP="00EC31BF">
            <w:pPr>
              <w:ind w:firstLine="0"/>
              <w:jc w:val="center"/>
              <w:rPr>
                <w:b w:val="0"/>
                <w:i/>
              </w:rPr>
            </w:pPr>
            <w:r>
              <w:rPr>
                <w:b w:val="0"/>
                <w:i/>
              </w:rPr>
              <w:t>Collège Daisy Georges Martin</w:t>
            </w:r>
          </w:p>
        </w:tc>
        <w:tc>
          <w:tcPr>
            <w:tcW w:w="2474" w:type="dxa"/>
            <w:tcBorders>
              <w:right w:val="single" w:sz="4" w:space="0" w:color="4F81BD" w:themeColor="accent1"/>
            </w:tcBorders>
          </w:tcPr>
          <w:p w:rsidR="00897EE9" w:rsidRPr="005251C6" w:rsidRDefault="00897EE9" w:rsidP="006A7F3E">
            <w:pPr>
              <w:jc w:val="center"/>
              <w:cnfStyle w:val="000000100000"/>
              <w:rPr>
                <w:i/>
              </w:rPr>
            </w:pPr>
            <w:r>
              <w:rPr>
                <w:i/>
              </w:rPr>
              <w:t xml:space="preserve">839 959 </w:t>
            </w:r>
            <w:proofErr w:type="spellStart"/>
            <w:r>
              <w:rPr>
                <w:i/>
              </w:rPr>
              <w:t>kwh</w:t>
            </w:r>
            <w:proofErr w:type="spellEnd"/>
          </w:p>
        </w:tc>
        <w:tc>
          <w:tcPr>
            <w:tcW w:w="2398" w:type="dxa"/>
            <w:tcBorders>
              <w:left w:val="single" w:sz="4" w:space="0" w:color="4F81BD" w:themeColor="accent1"/>
              <w:right w:val="single" w:sz="4" w:space="0" w:color="4F81BD" w:themeColor="accent1"/>
            </w:tcBorders>
          </w:tcPr>
          <w:p w:rsidR="00897EE9" w:rsidRPr="005251C6" w:rsidRDefault="00897EE9" w:rsidP="006A7F3E">
            <w:pPr>
              <w:jc w:val="center"/>
              <w:cnfStyle w:val="000000100000"/>
              <w:rPr>
                <w:i/>
              </w:rPr>
            </w:pPr>
            <w:r>
              <w:rPr>
                <w:i/>
              </w:rPr>
              <w:t xml:space="preserve">705 557 </w:t>
            </w:r>
            <w:proofErr w:type="spellStart"/>
            <w:r>
              <w:rPr>
                <w:i/>
              </w:rPr>
              <w:t>kwh</w:t>
            </w:r>
            <w:proofErr w:type="spellEnd"/>
          </w:p>
        </w:tc>
      </w:tr>
    </w:tbl>
    <w:p w:rsidR="00150046" w:rsidRDefault="00150046" w:rsidP="00E56F6E">
      <w:pPr>
        <w:jc w:val="both"/>
        <w:rPr>
          <w:sz w:val="24"/>
        </w:rPr>
      </w:pPr>
    </w:p>
    <w:p w:rsidR="00E56F6E" w:rsidRDefault="00CF0B13" w:rsidP="00E56F6E">
      <w:pPr>
        <w:jc w:val="both"/>
        <w:rPr>
          <w:sz w:val="24"/>
        </w:rPr>
      </w:pPr>
      <w:r>
        <w:rPr>
          <w:sz w:val="24"/>
        </w:rPr>
        <w:t xml:space="preserve">Fournisseur actuel : </w:t>
      </w:r>
      <w:r w:rsidR="00897EE9">
        <w:rPr>
          <w:sz w:val="24"/>
        </w:rPr>
        <w:t>TOTAL  ENERGIES</w:t>
      </w:r>
    </w:p>
    <w:p w:rsidR="00CF0B13" w:rsidRDefault="00DA39F5" w:rsidP="00E56F6E">
      <w:pPr>
        <w:jc w:val="both"/>
        <w:rPr>
          <w:sz w:val="24"/>
        </w:rPr>
      </w:pPr>
      <w:r>
        <w:rPr>
          <w:sz w:val="24"/>
        </w:rPr>
        <w:t>Matricule compteur </w:t>
      </w:r>
      <w:proofErr w:type="gramStart"/>
      <w:r>
        <w:rPr>
          <w:sz w:val="24"/>
        </w:rPr>
        <w:t>:21075250</w:t>
      </w:r>
      <w:proofErr w:type="gramEnd"/>
    </w:p>
    <w:p w:rsidR="00461471" w:rsidRDefault="00DD7689" w:rsidP="00E56F6E">
      <w:pPr>
        <w:jc w:val="both"/>
        <w:rPr>
          <w:b/>
          <w:sz w:val="24"/>
        </w:rPr>
      </w:pPr>
      <w:r>
        <w:rPr>
          <w:sz w:val="24"/>
        </w:rPr>
        <w:t xml:space="preserve">Identifiant </w:t>
      </w:r>
      <w:r w:rsidRPr="00461471">
        <w:rPr>
          <w:b/>
          <w:sz w:val="24"/>
        </w:rPr>
        <w:t>PCE : G</w:t>
      </w:r>
      <w:r w:rsidR="00DA39F5" w:rsidRPr="00461471">
        <w:rPr>
          <w:b/>
          <w:sz w:val="24"/>
        </w:rPr>
        <w:t>1069692</w:t>
      </w:r>
      <w:r w:rsidR="00461471" w:rsidRPr="00461471">
        <w:rPr>
          <w:b/>
          <w:sz w:val="24"/>
        </w:rPr>
        <w:t xml:space="preserve"> </w:t>
      </w:r>
    </w:p>
    <w:p w:rsidR="00CF0B13" w:rsidRDefault="00CF0B13" w:rsidP="00E56F6E">
      <w:pPr>
        <w:jc w:val="both"/>
        <w:rPr>
          <w:sz w:val="24"/>
        </w:rPr>
      </w:pPr>
      <w:r>
        <w:rPr>
          <w:sz w:val="24"/>
        </w:rPr>
        <w:t>Type d’usag</w:t>
      </w:r>
      <w:r w:rsidR="00EC31BF">
        <w:rPr>
          <w:sz w:val="24"/>
        </w:rPr>
        <w:t>e : bâtiment d’enseignement (750</w:t>
      </w:r>
      <w:r>
        <w:rPr>
          <w:sz w:val="24"/>
        </w:rPr>
        <w:t xml:space="preserve"> élèves) </w:t>
      </w:r>
      <w:r w:rsidR="00EC31BF">
        <w:rPr>
          <w:sz w:val="24"/>
        </w:rPr>
        <w:t>et 6</w:t>
      </w:r>
      <w:r w:rsidR="00E364AD">
        <w:rPr>
          <w:sz w:val="24"/>
        </w:rPr>
        <w:t xml:space="preserve"> logements de fonction</w:t>
      </w:r>
    </w:p>
    <w:p w:rsidR="00DA39F5" w:rsidRDefault="00DA39F5" w:rsidP="00E56F6E">
      <w:pPr>
        <w:jc w:val="both"/>
        <w:rPr>
          <w:sz w:val="24"/>
        </w:rPr>
      </w:pPr>
      <w:r>
        <w:rPr>
          <w:sz w:val="24"/>
        </w:rPr>
        <w:t>Profil distributeur : P14</w:t>
      </w:r>
    </w:p>
    <w:p w:rsidR="00461471" w:rsidRDefault="00DA39F5" w:rsidP="00461471">
      <w:pPr>
        <w:jc w:val="both"/>
        <w:rPr>
          <w:sz w:val="24"/>
        </w:rPr>
      </w:pPr>
      <w:r>
        <w:rPr>
          <w:sz w:val="24"/>
        </w:rPr>
        <w:t>CAR distributeur </w:t>
      </w:r>
      <w:proofErr w:type="gramStart"/>
      <w:r>
        <w:rPr>
          <w:sz w:val="24"/>
        </w:rPr>
        <w:t>:000</w:t>
      </w:r>
      <w:proofErr w:type="gramEnd"/>
      <w:r>
        <w:rPr>
          <w:sz w:val="24"/>
        </w:rPr>
        <w:t xml:space="preserve"> 000 000</w:t>
      </w:r>
      <w:r w:rsidR="00461471">
        <w:rPr>
          <w:sz w:val="24"/>
        </w:rPr>
        <w:t> </w:t>
      </w:r>
      <w:r>
        <w:rPr>
          <w:sz w:val="24"/>
        </w:rPr>
        <w:t>673</w:t>
      </w:r>
      <w:r w:rsidR="00461471" w:rsidRPr="00461471">
        <w:rPr>
          <w:sz w:val="24"/>
        </w:rPr>
        <w:t xml:space="preserve"> </w:t>
      </w:r>
    </w:p>
    <w:p w:rsidR="00461471" w:rsidRDefault="00461471" w:rsidP="00461471">
      <w:pPr>
        <w:jc w:val="both"/>
        <w:rPr>
          <w:sz w:val="24"/>
        </w:rPr>
      </w:pPr>
      <w:r>
        <w:rPr>
          <w:sz w:val="24"/>
        </w:rPr>
        <w:t xml:space="preserve">Et  </w:t>
      </w:r>
      <w:r w:rsidRPr="00461471">
        <w:rPr>
          <w:b/>
          <w:sz w:val="24"/>
        </w:rPr>
        <w:t>PCE</w:t>
      </w:r>
      <w:r>
        <w:rPr>
          <w:b/>
          <w:sz w:val="24"/>
        </w:rPr>
        <w:t xml:space="preserve"> : </w:t>
      </w:r>
      <w:r w:rsidRPr="00461471">
        <w:rPr>
          <w:b/>
          <w:sz w:val="24"/>
        </w:rPr>
        <w:t>19125035958170</w:t>
      </w:r>
    </w:p>
    <w:p w:rsidR="00DA39F5" w:rsidRDefault="00461471" w:rsidP="00E56F6E">
      <w:pPr>
        <w:jc w:val="both"/>
        <w:rPr>
          <w:sz w:val="24"/>
        </w:rPr>
      </w:pPr>
      <w:r>
        <w:rPr>
          <w:sz w:val="24"/>
        </w:rPr>
        <w:t xml:space="preserve">Profil et CAR en </w:t>
      </w:r>
      <w:proofErr w:type="spellStart"/>
      <w:r>
        <w:rPr>
          <w:sz w:val="24"/>
        </w:rPr>
        <w:t>Kwh</w:t>
      </w:r>
      <w:proofErr w:type="spellEnd"/>
      <w:r>
        <w:rPr>
          <w:sz w:val="24"/>
        </w:rPr>
        <w:t> : P011 000000000344</w:t>
      </w:r>
    </w:p>
    <w:p w:rsidR="00461471" w:rsidRDefault="00461471" w:rsidP="00461471">
      <w:pPr>
        <w:ind w:firstLine="0"/>
        <w:jc w:val="both"/>
        <w:rPr>
          <w:sz w:val="24"/>
        </w:rPr>
      </w:pPr>
    </w:p>
    <w:p w:rsidR="00E56F6E" w:rsidRPr="00DF565D" w:rsidRDefault="00DF565D" w:rsidP="00DF565D">
      <w:pPr>
        <w:pStyle w:val="Titre1"/>
        <w:rPr>
          <w:sz w:val="32"/>
        </w:rPr>
      </w:pPr>
      <w:bookmarkStart w:id="12" w:name="_Toc420499598"/>
      <w:r w:rsidRPr="00DF565D">
        <w:rPr>
          <w:sz w:val="32"/>
        </w:rPr>
        <w:t>Article 6. Prix</w:t>
      </w:r>
      <w:bookmarkEnd w:id="12"/>
      <w:r w:rsidRPr="00DF565D">
        <w:rPr>
          <w:sz w:val="32"/>
        </w:rPr>
        <w:t xml:space="preserve"> </w:t>
      </w:r>
    </w:p>
    <w:p w:rsidR="00DA39F5" w:rsidRDefault="00DA39F5" w:rsidP="00DF565D">
      <w:pPr>
        <w:pStyle w:val="Titre2"/>
        <w:rPr>
          <w:sz w:val="28"/>
        </w:rPr>
      </w:pPr>
    </w:p>
    <w:p w:rsidR="00DF565D" w:rsidRPr="00DF565D" w:rsidRDefault="00DF565D" w:rsidP="00DF565D">
      <w:pPr>
        <w:pStyle w:val="Titre2"/>
        <w:rPr>
          <w:sz w:val="28"/>
        </w:rPr>
      </w:pPr>
      <w:r>
        <w:rPr>
          <w:sz w:val="28"/>
        </w:rPr>
        <w:tab/>
      </w:r>
      <w:bookmarkStart w:id="13" w:name="_Toc420499599"/>
      <w:r>
        <w:rPr>
          <w:sz w:val="28"/>
        </w:rPr>
        <w:t xml:space="preserve">6.1 </w:t>
      </w:r>
      <w:r w:rsidRPr="00DF565D">
        <w:rPr>
          <w:sz w:val="28"/>
        </w:rPr>
        <w:t>Modalités d’établissement des prix</w:t>
      </w:r>
      <w:bookmarkEnd w:id="13"/>
    </w:p>
    <w:p w:rsidR="00F007D0" w:rsidRDefault="00F007D0" w:rsidP="00DF565D">
      <w:pPr>
        <w:rPr>
          <w:sz w:val="24"/>
        </w:rPr>
      </w:pPr>
    </w:p>
    <w:p w:rsidR="00DF565D" w:rsidRDefault="00DF565D" w:rsidP="00DF565D">
      <w:pPr>
        <w:rPr>
          <w:sz w:val="24"/>
        </w:rPr>
      </w:pPr>
      <w:r w:rsidRPr="00F007D0">
        <w:rPr>
          <w:sz w:val="24"/>
        </w:rPr>
        <w:t xml:space="preserve">Les prix indiqués par les fournisseurs dans </w:t>
      </w:r>
      <w:r w:rsidR="00795405">
        <w:rPr>
          <w:sz w:val="24"/>
        </w:rPr>
        <w:t>leurs offres</w:t>
      </w:r>
      <w:r w:rsidRPr="00F007D0">
        <w:rPr>
          <w:sz w:val="24"/>
        </w:rPr>
        <w:t xml:space="preserve"> comprennent : </w:t>
      </w:r>
    </w:p>
    <w:p w:rsidR="00795405" w:rsidRPr="00F007D0" w:rsidRDefault="00795405" w:rsidP="00DF565D">
      <w:pPr>
        <w:rPr>
          <w:sz w:val="24"/>
        </w:rPr>
      </w:pPr>
    </w:p>
    <w:p w:rsidR="00DF565D" w:rsidRPr="00F007D0" w:rsidRDefault="0079401A" w:rsidP="00F007D0">
      <w:pPr>
        <w:pStyle w:val="Paragraphedeliste"/>
        <w:numPr>
          <w:ilvl w:val="0"/>
          <w:numId w:val="7"/>
        </w:numPr>
        <w:rPr>
          <w:sz w:val="24"/>
        </w:rPr>
      </w:pPr>
      <w:r>
        <w:rPr>
          <w:sz w:val="24"/>
        </w:rPr>
        <w:t xml:space="preserve">L’acheminement de </w:t>
      </w:r>
      <w:r w:rsidR="00F25D86">
        <w:rPr>
          <w:sz w:val="24"/>
        </w:rPr>
        <w:t>gaz</w:t>
      </w:r>
      <w:r>
        <w:rPr>
          <w:sz w:val="24"/>
        </w:rPr>
        <w:t xml:space="preserve"> </w:t>
      </w:r>
    </w:p>
    <w:p w:rsidR="00DF565D" w:rsidRPr="00F007D0" w:rsidRDefault="0079401A" w:rsidP="00F007D0">
      <w:pPr>
        <w:pStyle w:val="Paragraphedeliste"/>
        <w:numPr>
          <w:ilvl w:val="0"/>
          <w:numId w:val="7"/>
        </w:numPr>
        <w:rPr>
          <w:sz w:val="24"/>
        </w:rPr>
      </w:pPr>
      <w:r>
        <w:rPr>
          <w:sz w:val="24"/>
        </w:rPr>
        <w:t xml:space="preserve">La fourniture de </w:t>
      </w:r>
      <w:r w:rsidR="00F25D86">
        <w:rPr>
          <w:sz w:val="24"/>
        </w:rPr>
        <w:t>gaz</w:t>
      </w:r>
      <w:r>
        <w:rPr>
          <w:sz w:val="24"/>
        </w:rPr>
        <w:t xml:space="preserve"> </w:t>
      </w:r>
    </w:p>
    <w:p w:rsidR="00DF565D" w:rsidRDefault="00F25D86" w:rsidP="00F007D0">
      <w:pPr>
        <w:pStyle w:val="Paragraphedeliste"/>
        <w:numPr>
          <w:ilvl w:val="0"/>
          <w:numId w:val="7"/>
        </w:numPr>
        <w:rPr>
          <w:sz w:val="24"/>
        </w:rPr>
      </w:pPr>
      <w:r>
        <w:rPr>
          <w:sz w:val="24"/>
        </w:rPr>
        <w:t>Le coû</w:t>
      </w:r>
      <w:r w:rsidR="0079401A">
        <w:rPr>
          <w:sz w:val="24"/>
        </w:rPr>
        <w:t>t de l’abonnement</w:t>
      </w:r>
      <w:r w:rsidR="00CF0B13">
        <w:rPr>
          <w:sz w:val="24"/>
        </w:rPr>
        <w:t xml:space="preserve"> et des services associés</w:t>
      </w:r>
    </w:p>
    <w:p w:rsidR="00795405" w:rsidRPr="00F007D0" w:rsidRDefault="00795405" w:rsidP="00F007D0">
      <w:pPr>
        <w:pStyle w:val="Paragraphedeliste"/>
        <w:numPr>
          <w:ilvl w:val="0"/>
          <w:numId w:val="7"/>
        </w:numPr>
        <w:rPr>
          <w:sz w:val="24"/>
        </w:rPr>
      </w:pPr>
    </w:p>
    <w:p w:rsidR="00DF565D" w:rsidRPr="00F007D0" w:rsidRDefault="00DF565D" w:rsidP="00F007D0">
      <w:pPr>
        <w:jc w:val="both"/>
        <w:rPr>
          <w:sz w:val="24"/>
        </w:rPr>
      </w:pPr>
      <w:r w:rsidRPr="00F007D0">
        <w:rPr>
          <w:sz w:val="24"/>
        </w:rPr>
        <w:t xml:space="preserve">Ils couvrent en outre, tous frais accessoires tels que les frais de constitution de dossiers administratifs, documentations et autres. </w:t>
      </w:r>
    </w:p>
    <w:p w:rsidR="00DF565D" w:rsidRDefault="00DF565D" w:rsidP="00F007D0">
      <w:pPr>
        <w:jc w:val="both"/>
        <w:rPr>
          <w:sz w:val="24"/>
        </w:rPr>
      </w:pPr>
      <w:r w:rsidRPr="00F007D0">
        <w:rPr>
          <w:sz w:val="24"/>
        </w:rPr>
        <w:t>Les taxes et contributions parafiscales sont indiquées à part et doivent être comprises dans le montant de l’offre. Les montants facturés pour celles-ci seront ceux conformes à la législation en vigueur au jour de la livraison.</w:t>
      </w:r>
    </w:p>
    <w:p w:rsidR="00DF565D" w:rsidRDefault="0079401A" w:rsidP="007E720A">
      <w:pPr>
        <w:jc w:val="both"/>
        <w:rPr>
          <w:sz w:val="24"/>
        </w:rPr>
      </w:pPr>
      <w:r>
        <w:rPr>
          <w:sz w:val="24"/>
        </w:rPr>
        <w:t>L’acheminement et la fourniture devront être dissociés dans la facturation.</w:t>
      </w:r>
    </w:p>
    <w:p w:rsidR="00150046" w:rsidRDefault="00150046" w:rsidP="007E720A">
      <w:pPr>
        <w:jc w:val="both"/>
        <w:rPr>
          <w:sz w:val="24"/>
        </w:rPr>
      </w:pPr>
    </w:p>
    <w:p w:rsidR="00DA39F5" w:rsidRDefault="00DA39F5" w:rsidP="007E720A">
      <w:pPr>
        <w:jc w:val="both"/>
        <w:rPr>
          <w:sz w:val="24"/>
        </w:rPr>
      </w:pPr>
    </w:p>
    <w:p w:rsidR="00DA39F5" w:rsidRDefault="00DA39F5" w:rsidP="007E720A">
      <w:pPr>
        <w:jc w:val="both"/>
        <w:rPr>
          <w:sz w:val="24"/>
        </w:rPr>
      </w:pPr>
    </w:p>
    <w:p w:rsidR="00DA39F5" w:rsidRDefault="00DA39F5" w:rsidP="007E720A">
      <w:pPr>
        <w:jc w:val="both"/>
        <w:rPr>
          <w:sz w:val="24"/>
        </w:rPr>
      </w:pPr>
    </w:p>
    <w:p w:rsidR="00DA39F5" w:rsidRDefault="00DA39F5" w:rsidP="007E720A">
      <w:pPr>
        <w:jc w:val="both"/>
        <w:rPr>
          <w:sz w:val="24"/>
        </w:rPr>
      </w:pPr>
    </w:p>
    <w:p w:rsidR="00DA39F5" w:rsidRDefault="00DA39F5" w:rsidP="007E720A">
      <w:pPr>
        <w:jc w:val="both"/>
        <w:rPr>
          <w:sz w:val="24"/>
        </w:rPr>
      </w:pPr>
    </w:p>
    <w:p w:rsidR="00DA39F5" w:rsidRPr="007E720A" w:rsidRDefault="00DA39F5" w:rsidP="007E720A">
      <w:pPr>
        <w:jc w:val="both"/>
        <w:rPr>
          <w:sz w:val="24"/>
        </w:rPr>
      </w:pPr>
    </w:p>
    <w:p w:rsidR="00F007D0" w:rsidRDefault="00F007D0" w:rsidP="00F007D0">
      <w:pPr>
        <w:pStyle w:val="Titre2"/>
        <w:ind w:firstLine="708"/>
        <w:rPr>
          <w:sz w:val="28"/>
        </w:rPr>
      </w:pPr>
      <w:bookmarkStart w:id="14" w:name="_Toc420499600"/>
      <w:r>
        <w:rPr>
          <w:sz w:val="28"/>
        </w:rPr>
        <w:t>6.2 Révision des prix</w:t>
      </w:r>
      <w:bookmarkEnd w:id="14"/>
    </w:p>
    <w:p w:rsidR="00F007D0" w:rsidRDefault="00F007D0" w:rsidP="00F007D0">
      <w:pPr>
        <w:autoSpaceDE w:val="0"/>
        <w:autoSpaceDN w:val="0"/>
        <w:adjustRightInd w:val="0"/>
        <w:rPr>
          <w:sz w:val="24"/>
        </w:rPr>
      </w:pPr>
    </w:p>
    <w:p w:rsidR="00150046" w:rsidRDefault="00CF0B13" w:rsidP="00CF0B13">
      <w:pPr>
        <w:jc w:val="both"/>
      </w:pPr>
      <w:r>
        <w:rPr>
          <w:sz w:val="24"/>
        </w:rPr>
        <w:t xml:space="preserve">Les prix </w:t>
      </w:r>
      <w:r w:rsidR="00B86829">
        <w:rPr>
          <w:sz w:val="24"/>
        </w:rPr>
        <w:t xml:space="preserve">proposés doivent être fixes </w:t>
      </w:r>
      <w:r w:rsidR="00C92EDB">
        <w:rPr>
          <w:sz w:val="24"/>
        </w:rPr>
        <w:t>sur la durée totale du contrat</w:t>
      </w:r>
    </w:p>
    <w:p w:rsidR="00150046" w:rsidRDefault="00150046" w:rsidP="00CF0B13">
      <w:pPr>
        <w:jc w:val="both"/>
      </w:pPr>
    </w:p>
    <w:p w:rsidR="00F007D0" w:rsidRDefault="00F007D0" w:rsidP="00E56F6E">
      <w:pPr>
        <w:jc w:val="both"/>
        <w:rPr>
          <w:color w:val="00B050"/>
          <w:sz w:val="24"/>
        </w:rPr>
      </w:pPr>
    </w:p>
    <w:p w:rsidR="00DA39F5" w:rsidRDefault="00DA39F5" w:rsidP="00E56F6E">
      <w:pPr>
        <w:jc w:val="both"/>
        <w:rPr>
          <w:color w:val="00B050"/>
          <w:sz w:val="24"/>
        </w:rPr>
      </w:pPr>
    </w:p>
    <w:p w:rsidR="00F007D0" w:rsidRPr="00EF3376" w:rsidRDefault="00F007D0" w:rsidP="00EF3376">
      <w:pPr>
        <w:pStyle w:val="Titre2"/>
        <w:ind w:firstLine="708"/>
        <w:rPr>
          <w:sz w:val="28"/>
        </w:rPr>
      </w:pPr>
      <w:bookmarkStart w:id="15" w:name="_Toc420499601"/>
      <w:r w:rsidRPr="00EF3376">
        <w:rPr>
          <w:sz w:val="28"/>
        </w:rPr>
        <w:t xml:space="preserve">6.3 </w:t>
      </w:r>
      <w:r w:rsidR="00300049" w:rsidRPr="00EF3376">
        <w:rPr>
          <w:sz w:val="28"/>
        </w:rPr>
        <w:t xml:space="preserve">Pénalités et </w:t>
      </w:r>
      <w:r w:rsidRPr="00EF3376">
        <w:rPr>
          <w:sz w:val="28"/>
        </w:rPr>
        <w:t>Résiliation</w:t>
      </w:r>
      <w:bookmarkEnd w:id="15"/>
      <w:r w:rsidRPr="00EF3376">
        <w:rPr>
          <w:sz w:val="28"/>
        </w:rPr>
        <w:t xml:space="preserve"> </w:t>
      </w:r>
    </w:p>
    <w:p w:rsidR="00300049" w:rsidRDefault="00300049" w:rsidP="00300049">
      <w:pPr>
        <w:pStyle w:val="Titre3"/>
      </w:pPr>
    </w:p>
    <w:p w:rsidR="00300049" w:rsidRDefault="00300049" w:rsidP="00300049">
      <w:pPr>
        <w:pStyle w:val="Titre3"/>
      </w:pPr>
      <w:bookmarkStart w:id="16" w:name="_Toc420499602"/>
      <w:r>
        <w:t>6.3.1 Pénalités</w:t>
      </w:r>
      <w:bookmarkEnd w:id="16"/>
    </w:p>
    <w:p w:rsidR="00300049" w:rsidRPr="00300049" w:rsidRDefault="00300049" w:rsidP="00433249">
      <w:pPr>
        <w:pStyle w:val="Paragraphedeliste"/>
        <w:numPr>
          <w:ilvl w:val="0"/>
          <w:numId w:val="12"/>
        </w:numPr>
        <w:jc w:val="both"/>
        <w:rPr>
          <w:sz w:val="24"/>
        </w:rPr>
      </w:pPr>
      <w:r w:rsidRPr="00300049">
        <w:rPr>
          <w:sz w:val="24"/>
        </w:rPr>
        <w:t>Pénalités pour discontinuité de fourniture :</w:t>
      </w:r>
    </w:p>
    <w:p w:rsidR="00300049" w:rsidRPr="00300049" w:rsidRDefault="00300049" w:rsidP="00433249">
      <w:pPr>
        <w:jc w:val="both"/>
        <w:rPr>
          <w:sz w:val="24"/>
        </w:rPr>
      </w:pPr>
      <w:r w:rsidRPr="00300049">
        <w:rPr>
          <w:sz w:val="24"/>
        </w:rPr>
        <w:t xml:space="preserve">Tous les coûts financiers résultant de la défaillance du titulaire, notamment la défaillance de fourniture </w:t>
      </w:r>
      <w:r w:rsidR="00CF0B13">
        <w:rPr>
          <w:sz w:val="24"/>
        </w:rPr>
        <w:t>d’</w:t>
      </w:r>
      <w:r w:rsidR="000113A0">
        <w:rPr>
          <w:sz w:val="24"/>
        </w:rPr>
        <w:t>électricité</w:t>
      </w:r>
      <w:r w:rsidRPr="00300049">
        <w:rPr>
          <w:sz w:val="24"/>
        </w:rPr>
        <w:t xml:space="preserve"> au réseau de distribution, seront à la charge du titulaire du marché.</w:t>
      </w:r>
    </w:p>
    <w:p w:rsidR="00300049" w:rsidRPr="00300049" w:rsidRDefault="00300049" w:rsidP="00433249">
      <w:pPr>
        <w:pStyle w:val="Paragraphedeliste"/>
        <w:numPr>
          <w:ilvl w:val="0"/>
          <w:numId w:val="12"/>
        </w:numPr>
        <w:jc w:val="both"/>
        <w:rPr>
          <w:sz w:val="24"/>
        </w:rPr>
      </w:pPr>
      <w:r w:rsidRPr="00300049">
        <w:rPr>
          <w:sz w:val="24"/>
        </w:rPr>
        <w:t>Exécution par défaut :</w:t>
      </w:r>
    </w:p>
    <w:p w:rsidR="00300049" w:rsidRPr="00300049" w:rsidRDefault="00300049" w:rsidP="00433249">
      <w:pPr>
        <w:jc w:val="both"/>
        <w:rPr>
          <w:sz w:val="24"/>
        </w:rPr>
      </w:pPr>
      <w:r w:rsidRPr="00300049">
        <w:rPr>
          <w:sz w:val="24"/>
        </w:rPr>
        <w:t>Conformément à l’article 32 du CCAG/FCS, il peut être pourvu par l’Acheteur à l’exécution de la fourniture</w:t>
      </w:r>
      <w:r>
        <w:rPr>
          <w:sz w:val="24"/>
        </w:rPr>
        <w:t xml:space="preserve"> </w:t>
      </w:r>
      <w:r w:rsidRPr="00300049">
        <w:rPr>
          <w:sz w:val="24"/>
        </w:rPr>
        <w:t>aux frais du titulaire dans le cas de retard ou de défaut d’exécution dans les livraisons.</w:t>
      </w:r>
    </w:p>
    <w:p w:rsidR="00300049" w:rsidRPr="00300049" w:rsidRDefault="00300049" w:rsidP="00433249">
      <w:pPr>
        <w:jc w:val="both"/>
        <w:rPr>
          <w:sz w:val="24"/>
        </w:rPr>
      </w:pPr>
      <w:r w:rsidRPr="00300049">
        <w:rPr>
          <w:sz w:val="24"/>
        </w:rPr>
        <w:t>S’il n’est pas possible à l’Acheteur de se procurer dans les conditions qui lui conviennent, une fourniture</w:t>
      </w:r>
      <w:r>
        <w:rPr>
          <w:sz w:val="24"/>
        </w:rPr>
        <w:t xml:space="preserve"> </w:t>
      </w:r>
      <w:r w:rsidRPr="00300049">
        <w:rPr>
          <w:sz w:val="24"/>
        </w:rPr>
        <w:t>conforme à celle prévue au marché, il aura la faculté de po</w:t>
      </w:r>
      <w:r w:rsidR="00CF0B13">
        <w:rPr>
          <w:sz w:val="24"/>
        </w:rPr>
        <w:t>urvoir aux besoins du Collège</w:t>
      </w:r>
      <w:r w:rsidRPr="00300049">
        <w:rPr>
          <w:sz w:val="24"/>
        </w:rPr>
        <w:t xml:space="preserve"> en</w:t>
      </w:r>
      <w:r>
        <w:rPr>
          <w:sz w:val="24"/>
        </w:rPr>
        <w:t xml:space="preserve"> </w:t>
      </w:r>
      <w:r w:rsidRPr="00300049">
        <w:rPr>
          <w:sz w:val="24"/>
        </w:rPr>
        <w:t>faisant appel à un fournisseur de son choix. Dans ce cas, le titulaire n’a pas droit de regard sur l’exécution des</w:t>
      </w:r>
      <w:r>
        <w:rPr>
          <w:sz w:val="24"/>
        </w:rPr>
        <w:t xml:space="preserve"> </w:t>
      </w:r>
      <w:r w:rsidRPr="00300049">
        <w:rPr>
          <w:sz w:val="24"/>
        </w:rPr>
        <w:t>prestations à ses frais et risques.</w:t>
      </w:r>
    </w:p>
    <w:p w:rsidR="00300049" w:rsidRPr="00300049" w:rsidRDefault="00300049" w:rsidP="00433249">
      <w:pPr>
        <w:jc w:val="both"/>
        <w:rPr>
          <w:sz w:val="24"/>
        </w:rPr>
      </w:pPr>
      <w:r w:rsidRPr="00300049">
        <w:rPr>
          <w:sz w:val="24"/>
        </w:rPr>
        <w:t>S’il en résulte une différence de prix, celle-ci sera à la charge du fournisseur défaillant et imputée d’office en</w:t>
      </w:r>
      <w:r>
        <w:rPr>
          <w:sz w:val="24"/>
        </w:rPr>
        <w:t xml:space="preserve"> </w:t>
      </w:r>
      <w:r w:rsidRPr="00300049">
        <w:rPr>
          <w:sz w:val="24"/>
        </w:rPr>
        <w:t>déduction sur le montant du prochain paiement effectué à son profit.</w:t>
      </w:r>
    </w:p>
    <w:p w:rsidR="00300049" w:rsidRDefault="00300049" w:rsidP="00433249">
      <w:pPr>
        <w:jc w:val="both"/>
        <w:rPr>
          <w:sz w:val="24"/>
        </w:rPr>
      </w:pPr>
      <w:r w:rsidRPr="00300049">
        <w:rPr>
          <w:sz w:val="24"/>
        </w:rPr>
        <w:t>La diminution des dépenses ne lui profite pas.</w:t>
      </w:r>
    </w:p>
    <w:p w:rsidR="00300049" w:rsidRPr="00300049" w:rsidRDefault="00300049" w:rsidP="00300049">
      <w:pPr>
        <w:rPr>
          <w:sz w:val="24"/>
        </w:rPr>
      </w:pPr>
    </w:p>
    <w:p w:rsidR="00300049" w:rsidRDefault="00300049" w:rsidP="00300049">
      <w:pPr>
        <w:pStyle w:val="Titre3"/>
      </w:pPr>
      <w:bookmarkStart w:id="17" w:name="_Toc420499603"/>
      <w:r>
        <w:t>6.3.2 Résiliation</w:t>
      </w:r>
      <w:bookmarkEnd w:id="17"/>
    </w:p>
    <w:p w:rsidR="00F007D0" w:rsidRPr="00F007D0" w:rsidRDefault="00F007D0" w:rsidP="00F007D0">
      <w:pPr>
        <w:pStyle w:val="Paragraphedeliste"/>
        <w:numPr>
          <w:ilvl w:val="0"/>
          <w:numId w:val="8"/>
        </w:numPr>
        <w:jc w:val="both"/>
        <w:rPr>
          <w:sz w:val="24"/>
        </w:rPr>
      </w:pPr>
      <w:r w:rsidRPr="00F007D0">
        <w:rPr>
          <w:sz w:val="24"/>
        </w:rPr>
        <w:t xml:space="preserve">En cas d’inexécution par le titulaire de ses obligations, la personne responsable du marché se réserve le droit de mettre fin à tout moment à l’exécution des prestations faisant l’objet du marché avant l’achèvement de celui-ci par une décision de résiliation, qu’il y ai faute ou non du titulaire. </w:t>
      </w:r>
    </w:p>
    <w:p w:rsidR="00F007D0" w:rsidRPr="00F007D0" w:rsidRDefault="00F007D0" w:rsidP="00F007D0">
      <w:pPr>
        <w:pStyle w:val="Paragraphedeliste"/>
        <w:numPr>
          <w:ilvl w:val="0"/>
          <w:numId w:val="8"/>
        </w:numPr>
        <w:jc w:val="both"/>
        <w:rPr>
          <w:sz w:val="24"/>
        </w:rPr>
      </w:pPr>
      <w:r w:rsidRPr="00F007D0">
        <w:rPr>
          <w:sz w:val="24"/>
        </w:rPr>
        <w:t xml:space="preserve">En cas de résiliation du marché aux torts du titulaire par référence à l’article 28 du CCAG/FCS, le titulaire est informé par écrit de la décision de la personne responsable du </w:t>
      </w:r>
      <w:r w:rsidR="005251C6" w:rsidRPr="00F007D0">
        <w:rPr>
          <w:sz w:val="24"/>
        </w:rPr>
        <w:t>marché, en</w:t>
      </w:r>
      <w:r w:rsidRPr="00F007D0">
        <w:rPr>
          <w:sz w:val="24"/>
        </w:rPr>
        <w:t xml:space="preserve"> recommandé avec accusé de réception et peut présenter ses observations dans un délai de quinze jours. </w:t>
      </w:r>
    </w:p>
    <w:p w:rsidR="00F007D0" w:rsidRPr="00F007D0" w:rsidRDefault="00F007D0" w:rsidP="00F007D0">
      <w:pPr>
        <w:contextualSpacing/>
        <w:jc w:val="both"/>
        <w:rPr>
          <w:sz w:val="24"/>
        </w:rPr>
      </w:pPr>
      <w:r w:rsidRPr="00F007D0">
        <w:rPr>
          <w:sz w:val="24"/>
        </w:rPr>
        <w:t xml:space="preserve">Outre les clauses de résiliation du marché prévues ci-dessus, toute inobservation des clauses du marché ou manquement aux obligations contractuelles, entraînera la résiliation du marché de plein droit à l’expiration du délai de mise en demeure. </w:t>
      </w:r>
    </w:p>
    <w:p w:rsidR="00F007D0" w:rsidRDefault="00F007D0" w:rsidP="00F007D0">
      <w:pPr>
        <w:pStyle w:val="Paragraphedeliste"/>
        <w:numPr>
          <w:ilvl w:val="0"/>
          <w:numId w:val="8"/>
        </w:numPr>
        <w:jc w:val="both"/>
        <w:rPr>
          <w:sz w:val="24"/>
        </w:rPr>
      </w:pPr>
      <w:r w:rsidRPr="00F007D0">
        <w:rPr>
          <w:sz w:val="24"/>
        </w:rPr>
        <w:t>Passé ce délai, et sans règlement à l’amiable du litige, la décision de résiliation du marché est notifiée en recommandé avec AR. Dans ce cas, le titulaire ne pourra prétendre à aucune indemnité.</w:t>
      </w:r>
    </w:p>
    <w:p w:rsidR="00150046" w:rsidRDefault="00150046" w:rsidP="00E364AD">
      <w:pPr>
        <w:ind w:firstLine="0"/>
        <w:jc w:val="both"/>
        <w:rPr>
          <w:sz w:val="24"/>
        </w:rPr>
      </w:pPr>
    </w:p>
    <w:p w:rsidR="00CF0B13" w:rsidRDefault="00CF0B13" w:rsidP="00CF0B13">
      <w:pPr>
        <w:pStyle w:val="Titre1"/>
        <w:rPr>
          <w:sz w:val="32"/>
        </w:rPr>
      </w:pPr>
      <w:bookmarkStart w:id="18" w:name="_Toc420499604"/>
      <w:r>
        <w:rPr>
          <w:sz w:val="32"/>
        </w:rPr>
        <w:lastRenderedPageBreak/>
        <w:t>Article 7</w:t>
      </w:r>
      <w:r w:rsidRPr="00DF565D">
        <w:rPr>
          <w:sz w:val="32"/>
        </w:rPr>
        <w:t xml:space="preserve">. </w:t>
      </w:r>
      <w:r>
        <w:rPr>
          <w:sz w:val="32"/>
        </w:rPr>
        <w:t>Services annexes</w:t>
      </w:r>
      <w:bookmarkEnd w:id="18"/>
    </w:p>
    <w:p w:rsidR="00CF0B13" w:rsidRDefault="00CF0B13" w:rsidP="00C82898">
      <w:pPr>
        <w:jc w:val="both"/>
        <w:rPr>
          <w:sz w:val="24"/>
        </w:rPr>
      </w:pPr>
    </w:p>
    <w:p w:rsidR="00C82898" w:rsidRDefault="00CF0B13" w:rsidP="00C82898">
      <w:pPr>
        <w:jc w:val="both"/>
        <w:rPr>
          <w:sz w:val="24"/>
        </w:rPr>
      </w:pPr>
      <w:r>
        <w:rPr>
          <w:sz w:val="24"/>
        </w:rPr>
        <w:t xml:space="preserve">L’offre devra inclure les services suivants : </w:t>
      </w:r>
    </w:p>
    <w:p w:rsidR="00CF0B13" w:rsidRDefault="00CF0B13" w:rsidP="00C82898">
      <w:pPr>
        <w:jc w:val="both"/>
        <w:rPr>
          <w:sz w:val="24"/>
        </w:rPr>
      </w:pPr>
    </w:p>
    <w:p w:rsidR="00CF0B13" w:rsidRDefault="007E720A" w:rsidP="00CF0B13">
      <w:pPr>
        <w:pStyle w:val="Paragraphedeliste"/>
        <w:numPr>
          <w:ilvl w:val="0"/>
          <w:numId w:val="13"/>
        </w:numPr>
        <w:jc w:val="both"/>
        <w:rPr>
          <w:sz w:val="24"/>
        </w:rPr>
      </w:pPr>
      <w:r>
        <w:rPr>
          <w:sz w:val="24"/>
        </w:rPr>
        <w:t>synthèse annuelle de la consommation délivrée par le fournisseur.</w:t>
      </w:r>
    </w:p>
    <w:p w:rsidR="007E720A" w:rsidRDefault="007E720A" w:rsidP="00CF0B13">
      <w:pPr>
        <w:pStyle w:val="Paragraphedeliste"/>
        <w:numPr>
          <w:ilvl w:val="0"/>
          <w:numId w:val="13"/>
        </w:numPr>
        <w:jc w:val="both"/>
        <w:rPr>
          <w:sz w:val="24"/>
        </w:rPr>
      </w:pPr>
      <w:r>
        <w:rPr>
          <w:sz w:val="24"/>
        </w:rPr>
        <w:t>Une assistance technique fiable</w:t>
      </w:r>
    </w:p>
    <w:p w:rsidR="007E720A" w:rsidRPr="007E720A" w:rsidRDefault="007E720A" w:rsidP="007E720A">
      <w:pPr>
        <w:ind w:left="705" w:firstLine="0"/>
        <w:jc w:val="both"/>
        <w:rPr>
          <w:sz w:val="24"/>
        </w:rPr>
      </w:pPr>
    </w:p>
    <w:p w:rsidR="00C82898" w:rsidRDefault="00C82898" w:rsidP="00C82898">
      <w:pPr>
        <w:pStyle w:val="Titre1"/>
        <w:rPr>
          <w:sz w:val="32"/>
        </w:rPr>
      </w:pPr>
      <w:bookmarkStart w:id="19" w:name="_Toc396293788"/>
      <w:bookmarkStart w:id="20" w:name="_Toc420499605"/>
      <w:r>
        <w:rPr>
          <w:sz w:val="32"/>
        </w:rPr>
        <w:t>A</w:t>
      </w:r>
      <w:r w:rsidR="007E720A">
        <w:rPr>
          <w:sz w:val="32"/>
        </w:rPr>
        <w:t>rticle 8</w:t>
      </w:r>
      <w:r w:rsidRPr="00DF565D">
        <w:rPr>
          <w:sz w:val="32"/>
        </w:rPr>
        <w:t xml:space="preserve">. </w:t>
      </w:r>
      <w:r>
        <w:rPr>
          <w:sz w:val="32"/>
        </w:rPr>
        <w:t>Facturation et paiement</w:t>
      </w:r>
      <w:bookmarkEnd w:id="19"/>
      <w:bookmarkEnd w:id="20"/>
    </w:p>
    <w:p w:rsidR="00C82898" w:rsidRDefault="00C82898" w:rsidP="00C82898">
      <w:pPr>
        <w:rPr>
          <w:sz w:val="24"/>
          <w:szCs w:val="24"/>
        </w:rPr>
      </w:pPr>
    </w:p>
    <w:p w:rsidR="00C82898" w:rsidRDefault="00C82898" w:rsidP="00433249">
      <w:pPr>
        <w:jc w:val="both"/>
        <w:rPr>
          <w:sz w:val="24"/>
          <w:szCs w:val="24"/>
        </w:rPr>
      </w:pPr>
      <w:r w:rsidRPr="00C82898">
        <w:rPr>
          <w:sz w:val="24"/>
          <w:szCs w:val="24"/>
        </w:rPr>
        <w:t>Le candidat remettra un modèle de facture unique contenant la facture proprement dite et son annexe qui répondront aux exigences prévue</w:t>
      </w:r>
      <w:r w:rsidR="004A7677">
        <w:rPr>
          <w:sz w:val="24"/>
          <w:szCs w:val="24"/>
        </w:rPr>
        <w:t>s au présent cahier des charges.</w:t>
      </w:r>
    </w:p>
    <w:p w:rsidR="004A7677" w:rsidRPr="00C82898" w:rsidRDefault="004A7677" w:rsidP="00433249">
      <w:pPr>
        <w:autoSpaceDE w:val="0"/>
        <w:autoSpaceDN w:val="0"/>
        <w:adjustRightInd w:val="0"/>
        <w:jc w:val="both"/>
        <w:rPr>
          <w:sz w:val="24"/>
          <w:szCs w:val="24"/>
        </w:rPr>
      </w:pPr>
      <w:r w:rsidRPr="004A7677">
        <w:rPr>
          <w:sz w:val="24"/>
          <w:szCs w:val="24"/>
        </w:rPr>
        <w:t>Les fournitures seront payées après service fait suivant les règles de la comptabilité publique, dans les conditions prévues à l’article 8 du CCAG/FCS.</w:t>
      </w:r>
    </w:p>
    <w:p w:rsidR="00C82898" w:rsidRPr="00C82898" w:rsidRDefault="00C82898" w:rsidP="00433249">
      <w:pPr>
        <w:jc w:val="both"/>
        <w:rPr>
          <w:sz w:val="24"/>
          <w:szCs w:val="24"/>
        </w:rPr>
      </w:pPr>
      <w:r w:rsidRPr="00C82898">
        <w:rPr>
          <w:sz w:val="24"/>
          <w:szCs w:val="24"/>
        </w:rPr>
        <w:t xml:space="preserve">Il sera établi </w:t>
      </w:r>
      <w:r>
        <w:rPr>
          <w:sz w:val="24"/>
          <w:szCs w:val="24"/>
        </w:rPr>
        <w:t xml:space="preserve">une facture </w:t>
      </w:r>
      <w:r w:rsidR="007E720A" w:rsidRPr="007E720A">
        <w:rPr>
          <w:sz w:val="24"/>
          <w:szCs w:val="24"/>
        </w:rPr>
        <w:t>mensuelle</w:t>
      </w:r>
      <w:r w:rsidR="007E720A">
        <w:rPr>
          <w:color w:val="FF0000"/>
          <w:sz w:val="24"/>
          <w:szCs w:val="24"/>
        </w:rPr>
        <w:t xml:space="preserve"> </w:t>
      </w:r>
      <w:r w:rsidRPr="00C82898">
        <w:rPr>
          <w:sz w:val="24"/>
          <w:szCs w:val="24"/>
        </w:rPr>
        <w:t>qui comporter</w:t>
      </w:r>
      <w:r>
        <w:rPr>
          <w:sz w:val="24"/>
          <w:szCs w:val="24"/>
        </w:rPr>
        <w:t>a</w:t>
      </w:r>
      <w:r w:rsidRPr="00C82898">
        <w:rPr>
          <w:sz w:val="24"/>
          <w:szCs w:val="24"/>
        </w:rPr>
        <w:t xml:space="preserve"> notamment les mentions légales suivantes : </w:t>
      </w:r>
    </w:p>
    <w:p w:rsidR="00C82898" w:rsidRPr="005251C6" w:rsidRDefault="00C82898" w:rsidP="00C82898">
      <w:pPr>
        <w:rPr>
          <w:sz w:val="24"/>
          <w:szCs w:val="24"/>
        </w:rPr>
      </w:pPr>
      <w:r w:rsidRPr="005251C6">
        <w:rPr>
          <w:sz w:val="24"/>
          <w:szCs w:val="24"/>
        </w:rPr>
        <w:t>-Le nom,</w:t>
      </w:r>
      <w:r w:rsidR="00391837" w:rsidRPr="005251C6">
        <w:rPr>
          <w:sz w:val="24"/>
          <w:szCs w:val="24"/>
        </w:rPr>
        <w:t xml:space="preserve"> </w:t>
      </w:r>
      <w:r w:rsidRPr="005251C6">
        <w:rPr>
          <w:sz w:val="24"/>
          <w:szCs w:val="24"/>
        </w:rPr>
        <w:t xml:space="preserve">n° SIRET et l’adresse du créancier </w:t>
      </w:r>
    </w:p>
    <w:p w:rsidR="00C82898" w:rsidRPr="005251C6" w:rsidRDefault="00C82898" w:rsidP="00C82898">
      <w:pPr>
        <w:rPr>
          <w:sz w:val="24"/>
          <w:szCs w:val="24"/>
        </w:rPr>
      </w:pPr>
      <w:r w:rsidRPr="005251C6">
        <w:rPr>
          <w:sz w:val="24"/>
          <w:szCs w:val="24"/>
        </w:rPr>
        <w:t xml:space="preserve">-Le numéro de son compte bancaire ou postal tel qu’il est précisé dans l’Acte d’Engagement </w:t>
      </w:r>
    </w:p>
    <w:p w:rsidR="00C82898" w:rsidRPr="005251C6" w:rsidRDefault="00C82898" w:rsidP="00C82898">
      <w:pPr>
        <w:rPr>
          <w:sz w:val="24"/>
          <w:szCs w:val="24"/>
        </w:rPr>
      </w:pPr>
      <w:r w:rsidRPr="005251C6">
        <w:rPr>
          <w:sz w:val="24"/>
          <w:szCs w:val="24"/>
        </w:rPr>
        <w:t xml:space="preserve">-Le numéro et la date du marché </w:t>
      </w:r>
    </w:p>
    <w:p w:rsidR="00C82898" w:rsidRPr="005251C6" w:rsidRDefault="00C82898" w:rsidP="00C82898">
      <w:pPr>
        <w:rPr>
          <w:sz w:val="24"/>
          <w:szCs w:val="24"/>
        </w:rPr>
      </w:pPr>
      <w:r w:rsidRPr="005251C6">
        <w:rPr>
          <w:sz w:val="24"/>
          <w:szCs w:val="24"/>
        </w:rPr>
        <w:t xml:space="preserve">-Les coordonnées de l’interlocuteur identifié pour la relation clientèle </w:t>
      </w:r>
    </w:p>
    <w:p w:rsidR="00C82898" w:rsidRPr="005251C6" w:rsidRDefault="00C82898" w:rsidP="00C82898">
      <w:pPr>
        <w:rPr>
          <w:sz w:val="24"/>
          <w:szCs w:val="24"/>
        </w:rPr>
      </w:pPr>
      <w:r w:rsidRPr="005251C6">
        <w:rPr>
          <w:sz w:val="24"/>
          <w:szCs w:val="24"/>
        </w:rPr>
        <w:t xml:space="preserve">-La référence du point de livraison, le numéro du compteur </w:t>
      </w:r>
      <w:r w:rsidR="007E720A">
        <w:rPr>
          <w:sz w:val="24"/>
          <w:szCs w:val="24"/>
        </w:rPr>
        <w:t>électrique et du contrat</w:t>
      </w:r>
      <w:r w:rsidRPr="005251C6">
        <w:rPr>
          <w:sz w:val="24"/>
          <w:szCs w:val="24"/>
        </w:rPr>
        <w:t xml:space="preserve"> </w:t>
      </w:r>
    </w:p>
    <w:p w:rsidR="00C82898" w:rsidRPr="005251C6" w:rsidRDefault="00C82898" w:rsidP="00C82898">
      <w:pPr>
        <w:rPr>
          <w:sz w:val="24"/>
          <w:szCs w:val="24"/>
        </w:rPr>
      </w:pPr>
      <w:r w:rsidRPr="005251C6">
        <w:rPr>
          <w:sz w:val="24"/>
          <w:szCs w:val="24"/>
        </w:rPr>
        <w:t>-Le nouvel index</w:t>
      </w:r>
      <w:r w:rsidR="00391837" w:rsidRPr="005251C6">
        <w:rPr>
          <w:sz w:val="24"/>
          <w:szCs w:val="24"/>
        </w:rPr>
        <w:t xml:space="preserve"> </w:t>
      </w:r>
      <w:r w:rsidR="007E720A">
        <w:rPr>
          <w:sz w:val="24"/>
          <w:szCs w:val="24"/>
        </w:rPr>
        <w:t xml:space="preserve">en </w:t>
      </w:r>
      <w:proofErr w:type="spellStart"/>
      <w:r w:rsidR="007E720A">
        <w:rPr>
          <w:sz w:val="24"/>
          <w:szCs w:val="24"/>
        </w:rPr>
        <w:t>Kwh</w:t>
      </w:r>
      <w:proofErr w:type="spellEnd"/>
      <w:r w:rsidRPr="005251C6">
        <w:rPr>
          <w:sz w:val="24"/>
          <w:szCs w:val="24"/>
        </w:rPr>
        <w:t xml:space="preserve"> et sa date de relève </w:t>
      </w:r>
    </w:p>
    <w:p w:rsidR="00C82898" w:rsidRPr="005251C6" w:rsidRDefault="00C82898" w:rsidP="00C82898">
      <w:pPr>
        <w:rPr>
          <w:sz w:val="24"/>
          <w:szCs w:val="24"/>
        </w:rPr>
      </w:pPr>
      <w:r w:rsidRPr="005251C6">
        <w:rPr>
          <w:sz w:val="24"/>
          <w:szCs w:val="24"/>
        </w:rPr>
        <w:t>-L’index de la relève précédente</w:t>
      </w:r>
      <w:r w:rsidR="00391837" w:rsidRPr="005251C6">
        <w:rPr>
          <w:sz w:val="24"/>
          <w:szCs w:val="24"/>
        </w:rPr>
        <w:t xml:space="preserve"> </w:t>
      </w:r>
      <w:r w:rsidR="007E720A">
        <w:rPr>
          <w:sz w:val="24"/>
          <w:szCs w:val="24"/>
        </w:rPr>
        <w:t xml:space="preserve">en </w:t>
      </w:r>
      <w:proofErr w:type="spellStart"/>
      <w:r w:rsidR="007E720A">
        <w:rPr>
          <w:sz w:val="24"/>
          <w:szCs w:val="24"/>
        </w:rPr>
        <w:t>Kwh</w:t>
      </w:r>
      <w:proofErr w:type="spellEnd"/>
      <w:r w:rsidRPr="005251C6">
        <w:rPr>
          <w:sz w:val="24"/>
          <w:szCs w:val="24"/>
        </w:rPr>
        <w:t xml:space="preserve"> et sa date de relève </w:t>
      </w:r>
    </w:p>
    <w:p w:rsidR="00C82898" w:rsidRPr="005251C6" w:rsidRDefault="00C82898" w:rsidP="007E720A">
      <w:pPr>
        <w:rPr>
          <w:sz w:val="24"/>
          <w:szCs w:val="24"/>
        </w:rPr>
      </w:pPr>
      <w:r w:rsidRPr="005251C6">
        <w:rPr>
          <w:sz w:val="24"/>
          <w:szCs w:val="24"/>
        </w:rPr>
        <w:t>-la fourniture livrée</w:t>
      </w:r>
      <w:r w:rsidR="00391837" w:rsidRPr="005251C6">
        <w:rPr>
          <w:sz w:val="24"/>
          <w:szCs w:val="24"/>
        </w:rPr>
        <w:t xml:space="preserve"> </w:t>
      </w:r>
      <w:r w:rsidRPr="005251C6">
        <w:rPr>
          <w:sz w:val="24"/>
          <w:szCs w:val="24"/>
        </w:rPr>
        <w:t xml:space="preserve">en </w:t>
      </w:r>
      <w:proofErr w:type="spellStart"/>
      <w:r w:rsidR="007E720A">
        <w:rPr>
          <w:sz w:val="24"/>
          <w:szCs w:val="24"/>
        </w:rPr>
        <w:t>Kwh</w:t>
      </w:r>
      <w:proofErr w:type="spellEnd"/>
      <w:r w:rsidRPr="005251C6">
        <w:rPr>
          <w:sz w:val="24"/>
          <w:szCs w:val="24"/>
        </w:rPr>
        <w:t xml:space="preserve"> </w:t>
      </w:r>
    </w:p>
    <w:p w:rsidR="00C82898" w:rsidRPr="005251C6" w:rsidRDefault="00C82898" w:rsidP="00C82898">
      <w:pPr>
        <w:rPr>
          <w:sz w:val="24"/>
          <w:szCs w:val="24"/>
        </w:rPr>
      </w:pPr>
      <w:r w:rsidRPr="005251C6">
        <w:rPr>
          <w:sz w:val="24"/>
          <w:szCs w:val="24"/>
        </w:rPr>
        <w:t xml:space="preserve">-La quantité de KW consommés </w:t>
      </w:r>
    </w:p>
    <w:p w:rsidR="00C82898" w:rsidRPr="005251C6" w:rsidRDefault="00C82898" w:rsidP="00C82898">
      <w:pPr>
        <w:rPr>
          <w:sz w:val="24"/>
          <w:szCs w:val="24"/>
        </w:rPr>
      </w:pPr>
      <w:r w:rsidRPr="005251C6">
        <w:rPr>
          <w:sz w:val="24"/>
          <w:szCs w:val="24"/>
        </w:rPr>
        <w:t xml:space="preserve">-Le prix du KW hors TVA </w:t>
      </w:r>
    </w:p>
    <w:p w:rsidR="00C82898" w:rsidRPr="005251C6" w:rsidRDefault="00C82898" w:rsidP="00C82898">
      <w:pPr>
        <w:rPr>
          <w:sz w:val="24"/>
          <w:szCs w:val="24"/>
        </w:rPr>
      </w:pPr>
      <w:r w:rsidRPr="005251C6">
        <w:rPr>
          <w:sz w:val="24"/>
          <w:szCs w:val="24"/>
        </w:rPr>
        <w:t xml:space="preserve">-Le montant hors TVA de la fourniture </w:t>
      </w:r>
    </w:p>
    <w:p w:rsidR="007E720A" w:rsidRDefault="00C82898" w:rsidP="00C82898">
      <w:pPr>
        <w:rPr>
          <w:sz w:val="24"/>
          <w:szCs w:val="24"/>
        </w:rPr>
      </w:pPr>
      <w:r w:rsidRPr="005251C6">
        <w:rPr>
          <w:sz w:val="24"/>
          <w:szCs w:val="24"/>
        </w:rPr>
        <w:t xml:space="preserve">-Le montant de </w:t>
      </w:r>
      <w:r w:rsidR="007E720A">
        <w:rPr>
          <w:sz w:val="24"/>
          <w:szCs w:val="24"/>
        </w:rPr>
        <w:t>l’acheminement de l’électricité</w:t>
      </w:r>
    </w:p>
    <w:p w:rsidR="00C82898" w:rsidRPr="005251C6" w:rsidRDefault="007E720A" w:rsidP="00C82898">
      <w:pPr>
        <w:rPr>
          <w:sz w:val="24"/>
          <w:szCs w:val="24"/>
        </w:rPr>
      </w:pPr>
      <w:r>
        <w:rPr>
          <w:sz w:val="24"/>
          <w:szCs w:val="24"/>
        </w:rPr>
        <w:t>-Le montant de l’abonnement et des services associés.</w:t>
      </w:r>
      <w:r w:rsidR="00C82898" w:rsidRPr="005251C6">
        <w:rPr>
          <w:sz w:val="24"/>
          <w:szCs w:val="24"/>
        </w:rPr>
        <w:t xml:space="preserve"> </w:t>
      </w:r>
    </w:p>
    <w:p w:rsidR="00C82898" w:rsidRDefault="00C82898" w:rsidP="00C82898">
      <w:pPr>
        <w:rPr>
          <w:sz w:val="24"/>
          <w:szCs w:val="24"/>
        </w:rPr>
      </w:pPr>
      <w:r w:rsidRPr="005251C6">
        <w:rPr>
          <w:sz w:val="24"/>
          <w:szCs w:val="24"/>
        </w:rPr>
        <w:t xml:space="preserve">-Le montant des taxes et contributions </w:t>
      </w:r>
    </w:p>
    <w:p w:rsidR="005251C6" w:rsidRPr="005251C6" w:rsidRDefault="005251C6" w:rsidP="00C82898">
      <w:pPr>
        <w:rPr>
          <w:sz w:val="24"/>
          <w:szCs w:val="24"/>
        </w:rPr>
      </w:pPr>
    </w:p>
    <w:p w:rsidR="00C82898" w:rsidRPr="00DF565D" w:rsidRDefault="00C82898" w:rsidP="00433249">
      <w:pPr>
        <w:jc w:val="both"/>
        <w:rPr>
          <w:sz w:val="32"/>
        </w:rPr>
      </w:pPr>
      <w:r w:rsidRPr="00C82898">
        <w:rPr>
          <w:sz w:val="24"/>
          <w:szCs w:val="24"/>
        </w:rPr>
        <w:t>Le paiement s’effectuera dans les 30 jours</w:t>
      </w:r>
      <w:r w:rsidR="007E720A">
        <w:rPr>
          <w:sz w:val="24"/>
          <w:szCs w:val="24"/>
        </w:rPr>
        <w:t xml:space="preserve"> </w:t>
      </w:r>
      <w:r w:rsidR="007E720A" w:rsidRPr="00C92EDB">
        <w:rPr>
          <w:b/>
          <w:sz w:val="24"/>
          <w:szCs w:val="24"/>
        </w:rPr>
        <w:t>par prélèvement automatique</w:t>
      </w:r>
      <w:r w:rsidRPr="00C82898">
        <w:rPr>
          <w:sz w:val="24"/>
          <w:szCs w:val="24"/>
        </w:rPr>
        <w:t xml:space="preserve"> suivant la date de réception des factures conformes. Le dépassement du délai de paiement ouvre de plein droit et sans autre formalité, pour le titulaire du marché, le bénéfice d’intérêts moratoires par application du taux d’intérêt légal en vigueur le jour suivant l’expiration du délai, augmenté de deux points</w:t>
      </w:r>
      <w:r w:rsidRPr="00C82898">
        <w:t xml:space="preserve">. </w:t>
      </w:r>
      <w:r w:rsidRPr="00DF565D">
        <w:rPr>
          <w:sz w:val="32"/>
        </w:rPr>
        <w:t xml:space="preserve"> </w:t>
      </w:r>
    </w:p>
    <w:p w:rsidR="00C82898" w:rsidRDefault="00C82898" w:rsidP="00C82898">
      <w:pPr>
        <w:jc w:val="both"/>
        <w:rPr>
          <w:sz w:val="24"/>
        </w:rPr>
      </w:pPr>
    </w:p>
    <w:p w:rsidR="00DA39F5" w:rsidRDefault="00DA39F5" w:rsidP="00C82898">
      <w:pPr>
        <w:jc w:val="both"/>
        <w:rPr>
          <w:sz w:val="24"/>
        </w:rPr>
      </w:pPr>
    </w:p>
    <w:p w:rsidR="00DA39F5" w:rsidRDefault="00DA39F5" w:rsidP="00C82898">
      <w:pPr>
        <w:jc w:val="both"/>
        <w:rPr>
          <w:sz w:val="24"/>
        </w:rPr>
      </w:pPr>
    </w:p>
    <w:p w:rsidR="00DA39F5" w:rsidRDefault="00DA39F5" w:rsidP="00C82898">
      <w:pPr>
        <w:jc w:val="both"/>
        <w:rPr>
          <w:sz w:val="24"/>
        </w:rPr>
      </w:pPr>
    </w:p>
    <w:p w:rsidR="00DA39F5" w:rsidRDefault="00DA39F5" w:rsidP="00C82898">
      <w:pPr>
        <w:jc w:val="both"/>
        <w:rPr>
          <w:sz w:val="24"/>
        </w:rPr>
      </w:pPr>
    </w:p>
    <w:p w:rsidR="00C92EDB" w:rsidRDefault="00C92EDB" w:rsidP="00C92EDB">
      <w:pPr>
        <w:pStyle w:val="Titre1"/>
        <w:rPr>
          <w:sz w:val="32"/>
        </w:rPr>
      </w:pPr>
      <w:r>
        <w:rPr>
          <w:sz w:val="32"/>
        </w:rPr>
        <w:lastRenderedPageBreak/>
        <w:t>Article 9</w:t>
      </w:r>
      <w:r w:rsidRPr="00DF565D">
        <w:rPr>
          <w:sz w:val="32"/>
        </w:rPr>
        <w:t xml:space="preserve">. </w:t>
      </w:r>
      <w:r>
        <w:rPr>
          <w:sz w:val="32"/>
        </w:rPr>
        <w:t>Remise des offres</w:t>
      </w:r>
    </w:p>
    <w:p w:rsidR="00643651" w:rsidRDefault="00643651" w:rsidP="00643651">
      <w:pPr>
        <w:autoSpaceDE w:val="0"/>
        <w:autoSpaceDN w:val="0"/>
        <w:adjustRightInd w:val="0"/>
        <w:ind w:firstLine="0"/>
        <w:rPr>
          <w:rFonts w:ascii="Times New Roman" w:hAnsi="Times New Roman" w:cs="Times New Roman"/>
          <w:b/>
          <w:bCs/>
          <w:sz w:val="24"/>
          <w:szCs w:val="24"/>
        </w:rPr>
      </w:pPr>
    </w:p>
    <w:p w:rsidR="00643651" w:rsidRDefault="00643651" w:rsidP="00643651">
      <w:pPr>
        <w:autoSpaceDE w:val="0"/>
        <w:autoSpaceDN w:val="0"/>
        <w:adjustRightInd w:val="0"/>
        <w:ind w:firstLine="0"/>
        <w:rPr>
          <w:rFonts w:ascii="Times New Roman" w:hAnsi="Times New Roman" w:cs="Times New Roman"/>
          <w:b/>
          <w:bCs/>
          <w:sz w:val="24"/>
          <w:szCs w:val="24"/>
        </w:rPr>
      </w:pPr>
    </w:p>
    <w:p w:rsidR="00643651" w:rsidRDefault="00643651" w:rsidP="00643651">
      <w:pPr>
        <w:autoSpaceDE w:val="0"/>
        <w:autoSpaceDN w:val="0"/>
        <w:adjustRightInd w:val="0"/>
        <w:ind w:firstLine="0"/>
        <w:rPr>
          <w:rFonts w:cs="Times New Roman"/>
          <w:sz w:val="24"/>
          <w:szCs w:val="24"/>
        </w:rPr>
      </w:pPr>
      <w:r w:rsidRPr="00643651">
        <w:rPr>
          <w:rFonts w:cs="Times New Roman"/>
          <w:sz w:val="24"/>
          <w:szCs w:val="24"/>
        </w:rPr>
        <w:t>La date limite de réception des offre</w:t>
      </w:r>
      <w:r w:rsidR="004D25DD">
        <w:rPr>
          <w:rFonts w:cs="Times New Roman"/>
          <w:sz w:val="24"/>
          <w:szCs w:val="24"/>
        </w:rPr>
        <w:t>s est fixée au 20</w:t>
      </w:r>
      <w:r w:rsidR="00897EE9">
        <w:rPr>
          <w:rFonts w:cs="Times New Roman"/>
          <w:sz w:val="24"/>
          <w:szCs w:val="24"/>
        </w:rPr>
        <w:t xml:space="preserve"> septembre 2022</w:t>
      </w:r>
      <w:r>
        <w:rPr>
          <w:rFonts w:cs="Times New Roman"/>
          <w:sz w:val="24"/>
          <w:szCs w:val="24"/>
        </w:rPr>
        <w:t xml:space="preserve"> </w:t>
      </w:r>
      <w:r w:rsidR="00586D0B">
        <w:rPr>
          <w:rFonts w:cs="Times New Roman"/>
          <w:sz w:val="24"/>
          <w:szCs w:val="24"/>
        </w:rPr>
        <w:t>à midi avec une date de validité à 17h.</w:t>
      </w:r>
    </w:p>
    <w:p w:rsidR="00643651" w:rsidRDefault="00643651" w:rsidP="00643651">
      <w:pPr>
        <w:pStyle w:val="Titre1"/>
        <w:rPr>
          <w:sz w:val="32"/>
        </w:rPr>
      </w:pPr>
      <w:r>
        <w:rPr>
          <w:sz w:val="32"/>
        </w:rPr>
        <w:t>Article 9</w:t>
      </w:r>
      <w:r w:rsidRPr="00DF565D">
        <w:rPr>
          <w:sz w:val="32"/>
        </w:rPr>
        <w:t xml:space="preserve">. </w:t>
      </w:r>
      <w:r w:rsidR="00897EE9">
        <w:rPr>
          <w:sz w:val="32"/>
        </w:rPr>
        <w:t>J</w:t>
      </w:r>
      <w:r>
        <w:rPr>
          <w:sz w:val="32"/>
        </w:rPr>
        <w:t>ugement des offres</w:t>
      </w:r>
    </w:p>
    <w:p w:rsidR="00643651" w:rsidRPr="00643651" w:rsidRDefault="00643651" w:rsidP="00643651">
      <w:pPr>
        <w:autoSpaceDE w:val="0"/>
        <w:autoSpaceDN w:val="0"/>
        <w:adjustRightInd w:val="0"/>
        <w:ind w:firstLine="0"/>
        <w:rPr>
          <w:rFonts w:cs="Times New Roman"/>
          <w:b/>
          <w:bCs/>
          <w:sz w:val="24"/>
          <w:szCs w:val="24"/>
        </w:rPr>
      </w:pPr>
    </w:p>
    <w:p w:rsidR="00643651" w:rsidRDefault="00643651" w:rsidP="00643651">
      <w:pPr>
        <w:autoSpaceDE w:val="0"/>
        <w:autoSpaceDN w:val="0"/>
        <w:adjustRightInd w:val="0"/>
        <w:ind w:firstLine="0"/>
        <w:rPr>
          <w:rFonts w:cs="Times New Roman"/>
          <w:sz w:val="24"/>
          <w:szCs w:val="24"/>
        </w:rPr>
      </w:pPr>
      <w:r w:rsidRPr="00643651">
        <w:rPr>
          <w:rFonts w:cs="Times New Roman"/>
          <w:sz w:val="24"/>
          <w:szCs w:val="24"/>
        </w:rPr>
        <w:t>Les critères d’attribution sont les suivants.</w:t>
      </w:r>
    </w:p>
    <w:p w:rsidR="00643651" w:rsidRPr="00643651" w:rsidRDefault="00643651" w:rsidP="00643651">
      <w:pPr>
        <w:autoSpaceDE w:val="0"/>
        <w:autoSpaceDN w:val="0"/>
        <w:adjustRightInd w:val="0"/>
        <w:ind w:firstLine="0"/>
        <w:rPr>
          <w:rFonts w:cs="Times New Roman"/>
          <w:sz w:val="24"/>
          <w:szCs w:val="24"/>
        </w:rPr>
      </w:pPr>
    </w:p>
    <w:p w:rsidR="00643651" w:rsidRDefault="00643651" w:rsidP="00643651">
      <w:pPr>
        <w:autoSpaceDE w:val="0"/>
        <w:autoSpaceDN w:val="0"/>
        <w:adjustRightInd w:val="0"/>
        <w:ind w:firstLine="0"/>
        <w:rPr>
          <w:rFonts w:cs="Times New Roman"/>
          <w:sz w:val="24"/>
          <w:szCs w:val="24"/>
        </w:rPr>
      </w:pPr>
      <w:r w:rsidRPr="00643651">
        <w:rPr>
          <w:rFonts w:cs="Times New Roman"/>
          <w:sz w:val="24"/>
          <w:szCs w:val="24"/>
        </w:rPr>
        <w:t>- Le prix de la fourniture de gaz rendu site (pour un coefficient de pondération de 80 %).</w:t>
      </w:r>
    </w:p>
    <w:p w:rsidR="00643651" w:rsidRPr="00643651" w:rsidRDefault="00643651" w:rsidP="00643651">
      <w:pPr>
        <w:autoSpaceDE w:val="0"/>
        <w:autoSpaceDN w:val="0"/>
        <w:adjustRightInd w:val="0"/>
        <w:ind w:firstLine="0"/>
        <w:rPr>
          <w:rFonts w:cs="Times New Roman"/>
          <w:sz w:val="24"/>
          <w:szCs w:val="24"/>
        </w:rPr>
      </w:pPr>
    </w:p>
    <w:p w:rsidR="00643651" w:rsidRDefault="00643651" w:rsidP="00643651">
      <w:pPr>
        <w:autoSpaceDE w:val="0"/>
        <w:autoSpaceDN w:val="0"/>
        <w:adjustRightInd w:val="0"/>
        <w:ind w:firstLine="0"/>
        <w:rPr>
          <w:rFonts w:cs="Times New Roman"/>
          <w:sz w:val="24"/>
          <w:szCs w:val="24"/>
        </w:rPr>
      </w:pPr>
      <w:r w:rsidRPr="00643651">
        <w:rPr>
          <w:rFonts w:cs="Times New Roman"/>
          <w:sz w:val="24"/>
          <w:szCs w:val="24"/>
        </w:rPr>
        <w:t>- Qualité de la prestation et services associés (pour un coefficient de pondération de 20 %)</w:t>
      </w:r>
    </w:p>
    <w:p w:rsidR="00643651" w:rsidRPr="00643651" w:rsidRDefault="00643651" w:rsidP="00643651">
      <w:pPr>
        <w:autoSpaceDE w:val="0"/>
        <w:autoSpaceDN w:val="0"/>
        <w:adjustRightInd w:val="0"/>
        <w:ind w:firstLine="0"/>
        <w:rPr>
          <w:rFonts w:cs="Times New Roman"/>
          <w:sz w:val="24"/>
          <w:szCs w:val="24"/>
        </w:rPr>
      </w:pPr>
    </w:p>
    <w:p w:rsidR="00643651" w:rsidRDefault="00643651" w:rsidP="00643651">
      <w:pPr>
        <w:pStyle w:val="Titre1"/>
        <w:rPr>
          <w:sz w:val="32"/>
        </w:rPr>
      </w:pPr>
      <w:r>
        <w:rPr>
          <w:sz w:val="32"/>
        </w:rPr>
        <w:t>Article 10</w:t>
      </w:r>
      <w:r w:rsidRPr="00DF565D">
        <w:rPr>
          <w:sz w:val="32"/>
        </w:rPr>
        <w:t xml:space="preserve">. </w:t>
      </w:r>
      <w:proofErr w:type="gramStart"/>
      <w:r>
        <w:rPr>
          <w:sz w:val="32"/>
        </w:rPr>
        <w:t>correspondance</w:t>
      </w:r>
      <w:proofErr w:type="gramEnd"/>
    </w:p>
    <w:p w:rsidR="00E56D86" w:rsidRDefault="00E56D86" w:rsidP="00E56D86"/>
    <w:p w:rsidR="00E56D86" w:rsidRDefault="00E56D86" w:rsidP="00E56D86"/>
    <w:p w:rsidR="00E56D86" w:rsidRDefault="00E56D86" w:rsidP="00E56D86">
      <w:r>
        <w:t>Les offres pourront parvenir :</w:t>
      </w:r>
    </w:p>
    <w:p w:rsidR="00E56D86" w:rsidRDefault="00E56D86" w:rsidP="00E56D86"/>
    <w:p w:rsidR="00E56D86" w:rsidRDefault="009D5B52" w:rsidP="00E56D86">
      <w:pPr>
        <w:ind w:firstLine="0"/>
      </w:pPr>
      <w:r>
        <w:t>Sur le site : AJI</w:t>
      </w:r>
    </w:p>
    <w:p w:rsidR="00E56D86" w:rsidRDefault="00E56D86" w:rsidP="00643651">
      <w:pPr>
        <w:ind w:firstLine="0"/>
        <w:jc w:val="both"/>
        <w:rPr>
          <w:rFonts w:cs="Times New Roman"/>
          <w:color w:val="548DD4" w:themeColor="text2" w:themeTint="99"/>
          <w:sz w:val="24"/>
          <w:szCs w:val="24"/>
        </w:rPr>
      </w:pPr>
    </w:p>
    <w:p w:rsidR="00E87B51" w:rsidRDefault="00E87B51" w:rsidP="00643651">
      <w:pPr>
        <w:ind w:firstLine="0"/>
        <w:jc w:val="both"/>
        <w:rPr>
          <w:rFonts w:cs="Times New Roman"/>
          <w:color w:val="548DD4" w:themeColor="text2" w:themeTint="99"/>
          <w:sz w:val="24"/>
          <w:szCs w:val="24"/>
        </w:rPr>
      </w:pPr>
    </w:p>
    <w:p w:rsidR="00E56D86" w:rsidRDefault="00E56D86" w:rsidP="00643651">
      <w:pPr>
        <w:ind w:firstLine="0"/>
        <w:jc w:val="both"/>
      </w:pPr>
      <w:r>
        <w:t xml:space="preserve">Le lauréat du marché sera prévenu par téléphone, à partir du </w:t>
      </w:r>
      <w:r w:rsidR="004D25DD">
        <w:t>23</w:t>
      </w:r>
      <w:r w:rsidR="009D5B52">
        <w:t xml:space="preserve"> septembre 2022</w:t>
      </w:r>
      <w:r>
        <w:t>.</w:t>
      </w:r>
    </w:p>
    <w:p w:rsidR="00E56D86" w:rsidRDefault="00E56D86" w:rsidP="00643651">
      <w:pPr>
        <w:ind w:firstLine="0"/>
        <w:jc w:val="both"/>
      </w:pPr>
    </w:p>
    <w:p w:rsidR="00E56D86" w:rsidRDefault="00E56D86" w:rsidP="00643651">
      <w:pPr>
        <w:ind w:firstLine="0"/>
        <w:jc w:val="both"/>
      </w:pPr>
      <w:r>
        <w:t>Le marché  sera notifié par pli recommandé avec accusé de réception (cachet de la poste faisant foi).</w:t>
      </w:r>
    </w:p>
    <w:p w:rsidR="00E56D86" w:rsidRPr="00E56D86" w:rsidRDefault="00E56D86" w:rsidP="00643651">
      <w:pPr>
        <w:ind w:firstLine="0"/>
        <w:jc w:val="both"/>
        <w:rPr>
          <w:color w:val="000000" w:themeColor="text1"/>
          <w:sz w:val="24"/>
          <w:szCs w:val="24"/>
        </w:rPr>
      </w:pPr>
      <w:r>
        <w:br/>
      </w:r>
      <w:r w:rsidR="009D5B52">
        <w:rPr>
          <w:color w:val="000000" w:themeColor="text1"/>
          <w:sz w:val="24"/>
          <w:szCs w:val="24"/>
        </w:rPr>
        <w:t>L</w:t>
      </w:r>
      <w:r>
        <w:rPr>
          <w:color w:val="000000" w:themeColor="text1"/>
          <w:sz w:val="24"/>
          <w:szCs w:val="24"/>
        </w:rPr>
        <w:t>’avis</w:t>
      </w:r>
      <w:r w:rsidR="009D5B52">
        <w:rPr>
          <w:color w:val="000000" w:themeColor="text1"/>
          <w:sz w:val="24"/>
          <w:szCs w:val="24"/>
        </w:rPr>
        <w:t xml:space="preserve"> </w:t>
      </w:r>
      <w:r>
        <w:rPr>
          <w:color w:val="000000" w:themeColor="text1"/>
          <w:sz w:val="24"/>
          <w:szCs w:val="24"/>
        </w:rPr>
        <w:t xml:space="preserve"> d’attribution du marché </w:t>
      </w:r>
      <w:r w:rsidRPr="00E56D86">
        <w:rPr>
          <w:color w:val="000000" w:themeColor="text1"/>
          <w:sz w:val="24"/>
          <w:szCs w:val="24"/>
        </w:rPr>
        <w:t xml:space="preserve">sera </w:t>
      </w:r>
      <w:r>
        <w:rPr>
          <w:color w:val="000000" w:themeColor="text1"/>
          <w:sz w:val="24"/>
          <w:szCs w:val="24"/>
        </w:rPr>
        <w:t>disponible</w:t>
      </w:r>
      <w:r w:rsidRPr="00E56D86">
        <w:rPr>
          <w:color w:val="000000" w:themeColor="text1"/>
          <w:sz w:val="24"/>
          <w:szCs w:val="24"/>
        </w:rPr>
        <w:t xml:space="preserve"> sur le site de l’AJI</w:t>
      </w:r>
      <w:r>
        <w:rPr>
          <w:color w:val="000000" w:themeColor="text1"/>
          <w:sz w:val="24"/>
          <w:szCs w:val="24"/>
        </w:rPr>
        <w:t xml:space="preserve"> à partir du </w:t>
      </w:r>
      <w:r w:rsidR="004D25DD">
        <w:rPr>
          <w:color w:val="000000" w:themeColor="text1"/>
          <w:sz w:val="24"/>
          <w:szCs w:val="24"/>
        </w:rPr>
        <w:t>23</w:t>
      </w:r>
      <w:r w:rsidR="009D5B52">
        <w:rPr>
          <w:color w:val="000000" w:themeColor="text1"/>
          <w:sz w:val="24"/>
          <w:szCs w:val="24"/>
        </w:rPr>
        <w:t xml:space="preserve"> septembre 2022.</w:t>
      </w:r>
    </w:p>
    <w:sectPr w:rsidR="00E56D86" w:rsidRPr="00E56D86" w:rsidSect="00A05FDB">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D0B" w:rsidRDefault="00586D0B" w:rsidP="00BA6801">
      <w:r>
        <w:separator/>
      </w:r>
    </w:p>
  </w:endnote>
  <w:endnote w:type="continuationSeparator" w:id="1">
    <w:p w:rsidR="00586D0B" w:rsidRDefault="00586D0B" w:rsidP="00BA68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350418"/>
      <w:docPartObj>
        <w:docPartGallery w:val="Page Numbers (Bottom of Page)"/>
        <w:docPartUnique/>
      </w:docPartObj>
    </w:sdtPr>
    <w:sdtContent>
      <w:p w:rsidR="00586D0B" w:rsidRDefault="00C4377D">
        <w:pPr>
          <w:pStyle w:val="Pieddepage"/>
          <w:jc w:val="right"/>
        </w:pPr>
        <w:fldSimple w:instr="PAGE   \* MERGEFORMAT">
          <w:r w:rsidR="004D25DD">
            <w:rPr>
              <w:noProof/>
            </w:rPr>
            <w:t>2</w:t>
          </w:r>
        </w:fldSimple>
      </w:p>
    </w:sdtContent>
  </w:sdt>
  <w:p w:rsidR="00586D0B" w:rsidRDefault="00586D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D0B" w:rsidRDefault="00586D0B" w:rsidP="00BA6801">
      <w:r>
        <w:separator/>
      </w:r>
    </w:p>
  </w:footnote>
  <w:footnote w:type="continuationSeparator" w:id="1">
    <w:p w:rsidR="00586D0B" w:rsidRDefault="00586D0B" w:rsidP="00BA6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7A01"/>
    <w:multiLevelType w:val="hybridMultilevel"/>
    <w:tmpl w:val="3CFE4788"/>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9C312E"/>
    <w:multiLevelType w:val="hybridMultilevel"/>
    <w:tmpl w:val="11DC67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06298B"/>
    <w:multiLevelType w:val="hybridMultilevel"/>
    <w:tmpl w:val="678CD9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EB6872"/>
    <w:multiLevelType w:val="hybridMultilevel"/>
    <w:tmpl w:val="5B9A85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42066E"/>
    <w:multiLevelType w:val="hybridMultilevel"/>
    <w:tmpl w:val="B7C6E0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715279"/>
    <w:multiLevelType w:val="hybridMultilevel"/>
    <w:tmpl w:val="BCB2A0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067495"/>
    <w:multiLevelType w:val="hybridMultilevel"/>
    <w:tmpl w:val="E42E72C4"/>
    <w:lvl w:ilvl="0" w:tplc="F572DF66">
      <w:start w:val="7"/>
      <w:numFmt w:val="bullet"/>
      <w:lvlText w:val="-"/>
      <w:lvlJc w:val="left"/>
      <w:pPr>
        <w:ind w:left="1065" w:hanging="360"/>
      </w:pPr>
      <w:rPr>
        <w:rFonts w:ascii="Calibri" w:eastAsiaTheme="minorEastAsia"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49823BE3"/>
    <w:multiLevelType w:val="hybridMultilevel"/>
    <w:tmpl w:val="6E289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0B5EEF"/>
    <w:multiLevelType w:val="hybridMultilevel"/>
    <w:tmpl w:val="7B5A9A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1C5FF8"/>
    <w:multiLevelType w:val="hybridMultilevel"/>
    <w:tmpl w:val="7032CF76"/>
    <w:lvl w:ilvl="0" w:tplc="040C0005">
      <w:start w:val="1"/>
      <w:numFmt w:val="bullet"/>
      <w:lvlText w:val=""/>
      <w:lvlJc w:val="left"/>
      <w:pPr>
        <w:ind w:left="708" w:hanging="360"/>
      </w:pPr>
      <w:rPr>
        <w:rFonts w:ascii="Wingdings" w:hAnsi="Wingdings" w:hint="default"/>
      </w:rPr>
    </w:lvl>
    <w:lvl w:ilvl="1" w:tplc="040C0003">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10">
    <w:nsid w:val="650239E2"/>
    <w:multiLevelType w:val="hybridMultilevel"/>
    <w:tmpl w:val="84727E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B55698"/>
    <w:multiLevelType w:val="hybridMultilevel"/>
    <w:tmpl w:val="3A9E10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BD31A30"/>
    <w:multiLevelType w:val="hybridMultilevel"/>
    <w:tmpl w:val="7C3808EE"/>
    <w:lvl w:ilvl="0" w:tplc="5BD21BD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9"/>
  </w:num>
  <w:num w:numId="6">
    <w:abstractNumId w:val="4"/>
  </w:num>
  <w:num w:numId="7">
    <w:abstractNumId w:val="10"/>
  </w:num>
  <w:num w:numId="8">
    <w:abstractNumId w:val="2"/>
  </w:num>
  <w:num w:numId="9">
    <w:abstractNumId w:val="12"/>
  </w:num>
  <w:num w:numId="10">
    <w:abstractNumId w:val="0"/>
  </w:num>
  <w:num w:numId="11">
    <w:abstractNumId w:val="3"/>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C66C5E"/>
    <w:rsid w:val="000000FC"/>
    <w:rsid w:val="000113A0"/>
    <w:rsid w:val="00062868"/>
    <w:rsid w:val="00104BCE"/>
    <w:rsid w:val="00150046"/>
    <w:rsid w:val="00181558"/>
    <w:rsid w:val="00191B3F"/>
    <w:rsid w:val="001A0153"/>
    <w:rsid w:val="001D6A41"/>
    <w:rsid w:val="002608C3"/>
    <w:rsid w:val="00273DC7"/>
    <w:rsid w:val="00297628"/>
    <w:rsid w:val="002B7F0D"/>
    <w:rsid w:val="002E2561"/>
    <w:rsid w:val="00300049"/>
    <w:rsid w:val="00364A0A"/>
    <w:rsid w:val="0037742F"/>
    <w:rsid w:val="00391837"/>
    <w:rsid w:val="003A1009"/>
    <w:rsid w:val="003A6E0B"/>
    <w:rsid w:val="003C6B3E"/>
    <w:rsid w:val="003D43F8"/>
    <w:rsid w:val="0042686E"/>
    <w:rsid w:val="00433249"/>
    <w:rsid w:val="00461471"/>
    <w:rsid w:val="004A7677"/>
    <w:rsid w:val="004D25DD"/>
    <w:rsid w:val="005251C6"/>
    <w:rsid w:val="00580881"/>
    <w:rsid w:val="00586D0B"/>
    <w:rsid w:val="00591542"/>
    <w:rsid w:val="00640052"/>
    <w:rsid w:val="006433B1"/>
    <w:rsid w:val="00643651"/>
    <w:rsid w:val="0064623A"/>
    <w:rsid w:val="00664F3A"/>
    <w:rsid w:val="00667C70"/>
    <w:rsid w:val="006A0CA6"/>
    <w:rsid w:val="006A7F3E"/>
    <w:rsid w:val="006B493C"/>
    <w:rsid w:val="006C4990"/>
    <w:rsid w:val="006E0EE0"/>
    <w:rsid w:val="00703637"/>
    <w:rsid w:val="00740B47"/>
    <w:rsid w:val="007707C7"/>
    <w:rsid w:val="00772690"/>
    <w:rsid w:val="0079401A"/>
    <w:rsid w:val="00795405"/>
    <w:rsid w:val="007A72B6"/>
    <w:rsid w:val="007B4568"/>
    <w:rsid w:val="007E720A"/>
    <w:rsid w:val="00846582"/>
    <w:rsid w:val="00881C05"/>
    <w:rsid w:val="00897EE9"/>
    <w:rsid w:val="00923A22"/>
    <w:rsid w:val="00955F79"/>
    <w:rsid w:val="009603FA"/>
    <w:rsid w:val="009D5B52"/>
    <w:rsid w:val="009E236E"/>
    <w:rsid w:val="00A02EE7"/>
    <w:rsid w:val="00A05FDB"/>
    <w:rsid w:val="00A074AF"/>
    <w:rsid w:val="00A16E54"/>
    <w:rsid w:val="00B50111"/>
    <w:rsid w:val="00B75704"/>
    <w:rsid w:val="00B86829"/>
    <w:rsid w:val="00BA6801"/>
    <w:rsid w:val="00BB5785"/>
    <w:rsid w:val="00C4377D"/>
    <w:rsid w:val="00C44219"/>
    <w:rsid w:val="00C66C5E"/>
    <w:rsid w:val="00C82898"/>
    <w:rsid w:val="00C91DFD"/>
    <w:rsid w:val="00C92EDB"/>
    <w:rsid w:val="00CF0B13"/>
    <w:rsid w:val="00D64396"/>
    <w:rsid w:val="00DA36BB"/>
    <w:rsid w:val="00DA39F5"/>
    <w:rsid w:val="00DD7689"/>
    <w:rsid w:val="00DF565D"/>
    <w:rsid w:val="00E2162F"/>
    <w:rsid w:val="00E364AD"/>
    <w:rsid w:val="00E56D86"/>
    <w:rsid w:val="00E56F6E"/>
    <w:rsid w:val="00E82F90"/>
    <w:rsid w:val="00E87B51"/>
    <w:rsid w:val="00E93210"/>
    <w:rsid w:val="00EC31BF"/>
    <w:rsid w:val="00EC641E"/>
    <w:rsid w:val="00EF3376"/>
    <w:rsid w:val="00F007D0"/>
    <w:rsid w:val="00F25D86"/>
    <w:rsid w:val="00F67AF2"/>
    <w:rsid w:val="00FA409D"/>
    <w:rsid w:val="00FC7A45"/>
    <w:rsid w:val="00FF32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76"/>
  </w:style>
  <w:style w:type="paragraph" w:styleId="Titre1">
    <w:name w:val="heading 1"/>
    <w:basedOn w:val="Normal"/>
    <w:next w:val="Normal"/>
    <w:link w:val="Titre1Car"/>
    <w:uiPriority w:val="9"/>
    <w:qFormat/>
    <w:rsid w:val="00EF337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unhideWhenUsed/>
    <w:qFormat/>
    <w:rsid w:val="00EF337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unhideWhenUsed/>
    <w:qFormat/>
    <w:rsid w:val="00EF337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EF337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EF3376"/>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EF3376"/>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EF337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EF337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EF337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66C5E"/>
    <w:pPr>
      <w:autoSpaceDE w:val="0"/>
      <w:autoSpaceDN w:val="0"/>
      <w:adjustRightInd w:val="0"/>
    </w:pPr>
    <w:rPr>
      <w:rFonts w:ascii="Times New Roman" w:hAnsi="Times New Roman" w:cs="Times New Roman"/>
      <w:color w:val="000000"/>
      <w:sz w:val="24"/>
      <w:szCs w:val="24"/>
    </w:rPr>
  </w:style>
  <w:style w:type="character" w:customStyle="1" w:styleId="Titre2Car">
    <w:name w:val="Titre 2 Car"/>
    <w:basedOn w:val="Policepardfaut"/>
    <w:link w:val="Titre2"/>
    <w:uiPriority w:val="9"/>
    <w:rsid w:val="00EF3376"/>
    <w:rPr>
      <w:rFonts w:asciiTheme="majorHAnsi" w:eastAsiaTheme="majorEastAsia" w:hAnsiTheme="majorHAnsi" w:cstheme="majorBidi"/>
      <w:color w:val="365F91" w:themeColor="accent1" w:themeShade="BF"/>
      <w:sz w:val="24"/>
      <w:szCs w:val="24"/>
    </w:rPr>
  </w:style>
  <w:style w:type="paragraph" w:styleId="Textedebulles">
    <w:name w:val="Balloon Text"/>
    <w:basedOn w:val="Normal"/>
    <w:link w:val="TextedebullesCar"/>
    <w:uiPriority w:val="99"/>
    <w:semiHidden/>
    <w:unhideWhenUsed/>
    <w:rsid w:val="002B7F0D"/>
    <w:rPr>
      <w:rFonts w:ascii="Tahoma" w:hAnsi="Tahoma" w:cs="Tahoma"/>
      <w:sz w:val="16"/>
      <w:szCs w:val="16"/>
    </w:rPr>
  </w:style>
  <w:style w:type="character" w:customStyle="1" w:styleId="TextedebullesCar">
    <w:name w:val="Texte de bulles Car"/>
    <w:basedOn w:val="Policepardfaut"/>
    <w:link w:val="Textedebulles"/>
    <w:uiPriority w:val="99"/>
    <w:semiHidden/>
    <w:rsid w:val="002B7F0D"/>
    <w:rPr>
      <w:rFonts w:ascii="Tahoma" w:hAnsi="Tahoma" w:cs="Tahoma"/>
      <w:sz w:val="16"/>
      <w:szCs w:val="16"/>
    </w:rPr>
  </w:style>
  <w:style w:type="character" w:customStyle="1" w:styleId="Titre1Car">
    <w:name w:val="Titre 1 Car"/>
    <w:basedOn w:val="Policepardfaut"/>
    <w:link w:val="Titre1"/>
    <w:uiPriority w:val="9"/>
    <w:rsid w:val="00EF3376"/>
    <w:rPr>
      <w:rFonts w:asciiTheme="majorHAnsi" w:eastAsiaTheme="majorEastAsia" w:hAnsiTheme="majorHAnsi" w:cstheme="majorBidi"/>
      <w:b/>
      <w:bCs/>
      <w:color w:val="365F91" w:themeColor="accent1" w:themeShade="BF"/>
      <w:sz w:val="24"/>
      <w:szCs w:val="24"/>
    </w:rPr>
  </w:style>
  <w:style w:type="character" w:styleId="Numrodeligne">
    <w:name w:val="line number"/>
    <w:basedOn w:val="Policepardfaut"/>
    <w:uiPriority w:val="99"/>
    <w:semiHidden/>
    <w:unhideWhenUsed/>
    <w:rsid w:val="00BA6801"/>
  </w:style>
  <w:style w:type="paragraph" w:styleId="En-tte">
    <w:name w:val="header"/>
    <w:basedOn w:val="Normal"/>
    <w:link w:val="En-tteCar"/>
    <w:uiPriority w:val="99"/>
    <w:unhideWhenUsed/>
    <w:rsid w:val="00BA6801"/>
    <w:pPr>
      <w:tabs>
        <w:tab w:val="center" w:pos="4536"/>
        <w:tab w:val="right" w:pos="9072"/>
      </w:tabs>
    </w:pPr>
  </w:style>
  <w:style w:type="character" w:customStyle="1" w:styleId="En-tteCar">
    <w:name w:val="En-tête Car"/>
    <w:basedOn w:val="Policepardfaut"/>
    <w:link w:val="En-tte"/>
    <w:uiPriority w:val="99"/>
    <w:rsid w:val="00BA6801"/>
  </w:style>
  <w:style w:type="paragraph" w:styleId="Pieddepage">
    <w:name w:val="footer"/>
    <w:basedOn w:val="Normal"/>
    <w:link w:val="PieddepageCar"/>
    <w:uiPriority w:val="99"/>
    <w:unhideWhenUsed/>
    <w:rsid w:val="00BA6801"/>
    <w:pPr>
      <w:tabs>
        <w:tab w:val="center" w:pos="4536"/>
        <w:tab w:val="right" w:pos="9072"/>
      </w:tabs>
    </w:pPr>
  </w:style>
  <w:style w:type="character" w:customStyle="1" w:styleId="PieddepageCar">
    <w:name w:val="Pied de page Car"/>
    <w:basedOn w:val="Policepardfaut"/>
    <w:link w:val="Pieddepage"/>
    <w:uiPriority w:val="99"/>
    <w:rsid w:val="00BA6801"/>
  </w:style>
  <w:style w:type="paragraph" w:styleId="En-ttedetabledesmatires">
    <w:name w:val="TOC Heading"/>
    <w:basedOn w:val="Titre1"/>
    <w:next w:val="Normal"/>
    <w:uiPriority w:val="39"/>
    <w:semiHidden/>
    <w:unhideWhenUsed/>
    <w:qFormat/>
    <w:rsid w:val="00EF3376"/>
    <w:pPr>
      <w:outlineLvl w:val="9"/>
    </w:pPr>
    <w:rPr>
      <w:lang w:bidi="en-US"/>
    </w:rPr>
  </w:style>
  <w:style w:type="paragraph" w:styleId="TM1">
    <w:name w:val="toc 1"/>
    <w:basedOn w:val="Normal"/>
    <w:next w:val="Normal"/>
    <w:autoRedefine/>
    <w:uiPriority w:val="39"/>
    <w:unhideWhenUsed/>
    <w:rsid w:val="00273DC7"/>
    <w:pPr>
      <w:spacing w:after="100"/>
    </w:pPr>
  </w:style>
  <w:style w:type="paragraph" w:styleId="TM2">
    <w:name w:val="toc 2"/>
    <w:basedOn w:val="Normal"/>
    <w:next w:val="Normal"/>
    <w:autoRedefine/>
    <w:uiPriority w:val="39"/>
    <w:unhideWhenUsed/>
    <w:rsid w:val="00273DC7"/>
    <w:pPr>
      <w:spacing w:after="100"/>
      <w:ind w:left="220"/>
    </w:pPr>
  </w:style>
  <w:style w:type="character" w:styleId="Lienhypertexte">
    <w:name w:val="Hyperlink"/>
    <w:basedOn w:val="Policepardfaut"/>
    <w:uiPriority w:val="99"/>
    <w:unhideWhenUsed/>
    <w:rsid w:val="00273DC7"/>
    <w:rPr>
      <w:color w:val="0000FF" w:themeColor="hyperlink"/>
      <w:u w:val="single"/>
    </w:rPr>
  </w:style>
  <w:style w:type="paragraph" w:styleId="Paragraphedeliste">
    <w:name w:val="List Paragraph"/>
    <w:basedOn w:val="Normal"/>
    <w:uiPriority w:val="34"/>
    <w:qFormat/>
    <w:rsid w:val="00EF3376"/>
    <w:pPr>
      <w:ind w:left="720"/>
      <w:contextualSpacing/>
    </w:pPr>
  </w:style>
  <w:style w:type="table" w:styleId="Grilledutableau">
    <w:name w:val="Table Grid"/>
    <w:basedOn w:val="TableauNormal"/>
    <w:uiPriority w:val="59"/>
    <w:rsid w:val="00955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Accent1">
    <w:name w:val="Light List Accent 1"/>
    <w:basedOn w:val="TableauNormal"/>
    <w:uiPriority w:val="61"/>
    <w:rsid w:val="0064005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re3Car">
    <w:name w:val="Titre 3 Car"/>
    <w:basedOn w:val="Policepardfaut"/>
    <w:link w:val="Titre3"/>
    <w:uiPriority w:val="9"/>
    <w:rsid w:val="00EF3376"/>
    <w:rPr>
      <w:rFonts w:asciiTheme="majorHAnsi" w:eastAsiaTheme="majorEastAsia" w:hAnsiTheme="majorHAnsi" w:cstheme="majorBidi"/>
      <w:color w:val="4F81BD" w:themeColor="accent1"/>
      <w:sz w:val="24"/>
      <w:szCs w:val="24"/>
    </w:rPr>
  </w:style>
  <w:style w:type="paragraph" w:styleId="TM3">
    <w:name w:val="toc 3"/>
    <w:basedOn w:val="Normal"/>
    <w:next w:val="Normal"/>
    <w:autoRedefine/>
    <w:uiPriority w:val="39"/>
    <w:unhideWhenUsed/>
    <w:rsid w:val="00433249"/>
    <w:pPr>
      <w:spacing w:after="100"/>
      <w:ind w:left="440"/>
    </w:pPr>
  </w:style>
  <w:style w:type="character" w:customStyle="1" w:styleId="Titre4Car">
    <w:name w:val="Titre 4 Car"/>
    <w:basedOn w:val="Policepardfaut"/>
    <w:link w:val="Titre4"/>
    <w:uiPriority w:val="9"/>
    <w:semiHidden/>
    <w:rsid w:val="00EF3376"/>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EF3376"/>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EF3376"/>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EF3376"/>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EF3376"/>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EF3376"/>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EF3376"/>
    <w:rPr>
      <w:b/>
      <w:bCs/>
      <w:sz w:val="18"/>
      <w:szCs w:val="18"/>
    </w:rPr>
  </w:style>
  <w:style w:type="paragraph" w:styleId="Titre">
    <w:name w:val="Title"/>
    <w:basedOn w:val="Normal"/>
    <w:next w:val="Normal"/>
    <w:link w:val="TitreCar"/>
    <w:uiPriority w:val="10"/>
    <w:qFormat/>
    <w:rsid w:val="00EF337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EF3376"/>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uiPriority w:val="11"/>
    <w:qFormat/>
    <w:rsid w:val="00EF3376"/>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EF3376"/>
    <w:rPr>
      <w:i/>
      <w:iCs/>
      <w:sz w:val="24"/>
      <w:szCs w:val="24"/>
    </w:rPr>
  </w:style>
  <w:style w:type="character" w:styleId="lev">
    <w:name w:val="Strong"/>
    <w:basedOn w:val="Policepardfaut"/>
    <w:uiPriority w:val="22"/>
    <w:qFormat/>
    <w:rsid w:val="00EF3376"/>
    <w:rPr>
      <w:b/>
      <w:bCs/>
      <w:spacing w:val="0"/>
    </w:rPr>
  </w:style>
  <w:style w:type="character" w:styleId="Accentuation">
    <w:name w:val="Emphasis"/>
    <w:uiPriority w:val="20"/>
    <w:qFormat/>
    <w:rsid w:val="00EF3376"/>
    <w:rPr>
      <w:b/>
      <w:bCs/>
      <w:i/>
      <w:iCs/>
      <w:color w:val="5A5A5A" w:themeColor="text1" w:themeTint="A5"/>
    </w:rPr>
  </w:style>
  <w:style w:type="paragraph" w:styleId="Sansinterligne">
    <w:name w:val="No Spacing"/>
    <w:basedOn w:val="Normal"/>
    <w:link w:val="SansinterligneCar"/>
    <w:uiPriority w:val="1"/>
    <w:qFormat/>
    <w:rsid w:val="00EF3376"/>
    <w:pPr>
      <w:ind w:firstLine="0"/>
    </w:pPr>
  </w:style>
  <w:style w:type="character" w:customStyle="1" w:styleId="SansinterligneCar">
    <w:name w:val="Sans interligne Car"/>
    <w:basedOn w:val="Policepardfaut"/>
    <w:link w:val="Sansinterligne"/>
    <w:uiPriority w:val="1"/>
    <w:rsid w:val="00EF3376"/>
  </w:style>
  <w:style w:type="paragraph" w:styleId="Citation">
    <w:name w:val="Quote"/>
    <w:basedOn w:val="Normal"/>
    <w:next w:val="Normal"/>
    <w:link w:val="CitationCar"/>
    <w:uiPriority w:val="29"/>
    <w:qFormat/>
    <w:rsid w:val="00EF337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EF337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EF337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EF3376"/>
    <w:rPr>
      <w:rFonts w:asciiTheme="majorHAnsi" w:eastAsiaTheme="majorEastAsia" w:hAnsiTheme="majorHAnsi" w:cstheme="majorBidi"/>
      <w:i/>
      <w:iCs/>
      <w:color w:val="FFFFFF" w:themeColor="background1"/>
      <w:sz w:val="24"/>
      <w:szCs w:val="24"/>
      <w:shd w:val="clear" w:color="auto" w:fill="4F81BD" w:themeFill="accent1"/>
    </w:rPr>
  </w:style>
  <w:style w:type="character" w:styleId="Emphaseple">
    <w:name w:val="Subtle Emphasis"/>
    <w:uiPriority w:val="19"/>
    <w:qFormat/>
    <w:rsid w:val="00EF3376"/>
    <w:rPr>
      <w:i/>
      <w:iCs/>
      <w:color w:val="5A5A5A" w:themeColor="text1" w:themeTint="A5"/>
    </w:rPr>
  </w:style>
  <w:style w:type="character" w:styleId="Emphaseintense">
    <w:name w:val="Intense Emphasis"/>
    <w:uiPriority w:val="21"/>
    <w:qFormat/>
    <w:rsid w:val="00EF3376"/>
    <w:rPr>
      <w:b/>
      <w:bCs/>
      <w:i/>
      <w:iCs/>
      <w:color w:val="4F81BD" w:themeColor="accent1"/>
      <w:sz w:val="22"/>
      <w:szCs w:val="22"/>
    </w:rPr>
  </w:style>
  <w:style w:type="character" w:styleId="Rfrenceple">
    <w:name w:val="Subtle Reference"/>
    <w:uiPriority w:val="31"/>
    <w:qFormat/>
    <w:rsid w:val="00EF3376"/>
    <w:rPr>
      <w:color w:val="auto"/>
      <w:u w:val="single" w:color="9BBB59" w:themeColor="accent3"/>
    </w:rPr>
  </w:style>
  <w:style w:type="character" w:styleId="Rfrenceintense">
    <w:name w:val="Intense Reference"/>
    <w:basedOn w:val="Policepardfaut"/>
    <w:uiPriority w:val="32"/>
    <w:qFormat/>
    <w:rsid w:val="00EF3376"/>
    <w:rPr>
      <w:b/>
      <w:bCs/>
      <w:color w:val="76923C" w:themeColor="accent3" w:themeShade="BF"/>
      <w:u w:val="single" w:color="9BBB59" w:themeColor="accent3"/>
    </w:rPr>
  </w:style>
  <w:style w:type="character" w:styleId="Titredulivre">
    <w:name w:val="Book Title"/>
    <w:basedOn w:val="Policepardfaut"/>
    <w:uiPriority w:val="33"/>
    <w:qFormat/>
    <w:rsid w:val="00EF3376"/>
    <w:rPr>
      <w:rFonts w:asciiTheme="majorHAnsi" w:eastAsiaTheme="majorEastAsia" w:hAnsiTheme="majorHAnsi" w:cstheme="majorBidi"/>
      <w:b/>
      <w:bCs/>
      <w:i/>
      <w:iCs/>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0691824h@ac-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B4E49-A8B3-4885-8B0B-604CC541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1349</Words>
  <Characters>7424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Steiblen</dc:creator>
  <cp:lastModifiedBy>aduc</cp:lastModifiedBy>
  <cp:revision>6</cp:revision>
  <dcterms:created xsi:type="dcterms:W3CDTF">2022-07-12T07:30:00Z</dcterms:created>
  <dcterms:modified xsi:type="dcterms:W3CDTF">2022-09-01T09:16:00Z</dcterms:modified>
</cp:coreProperties>
</file>