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F4" w:rsidRDefault="002222F4" w:rsidP="00654460">
      <w:pPr>
        <w:tabs>
          <w:tab w:val="center" w:pos="1064"/>
          <w:tab w:val="center" w:pos="6124"/>
        </w:tabs>
        <w:spacing w:after="2141" w:line="259" w:lineRule="auto"/>
        <w:ind w:left="0" w:right="0" w:firstLine="0"/>
        <w:jc w:val="center"/>
        <w:rPr>
          <w:b/>
          <w:color w:val="000066"/>
          <w:sz w:val="36"/>
          <w:szCs w:val="36"/>
        </w:rPr>
      </w:pPr>
      <w:r>
        <w:rPr>
          <w:b/>
          <w:noProof/>
          <w:color w:val="000066"/>
          <w:sz w:val="36"/>
          <w:szCs w:val="36"/>
        </w:rPr>
        <w:drawing>
          <wp:anchor distT="0" distB="0" distL="114300" distR="114300" simplePos="0" relativeHeight="251659264" behindDoc="1" locked="0" layoutInCell="1" allowOverlap="0">
            <wp:simplePos x="0" y="0"/>
            <wp:positionH relativeFrom="column">
              <wp:posOffset>269240</wp:posOffset>
            </wp:positionH>
            <wp:positionV relativeFrom="paragraph">
              <wp:posOffset>11430</wp:posOffset>
            </wp:positionV>
            <wp:extent cx="1366520" cy="1086485"/>
            <wp:effectExtent l="0" t="0" r="5080" b="0"/>
            <wp:wrapTight wrapText="bothSides">
              <wp:wrapPolygon edited="0">
                <wp:start x="0" y="0"/>
                <wp:lineTo x="0" y="21209"/>
                <wp:lineTo x="21379" y="21209"/>
                <wp:lineTo x="21379" y="0"/>
                <wp:lineTo x="0" y="0"/>
              </wp:wrapPolygon>
            </wp:wrapTight>
            <wp:docPr id="1" name="Image 1" descr="logo lycée tazieff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ycée tazieff carr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5F5" w:rsidRPr="00654460" w:rsidRDefault="00654460" w:rsidP="00654460">
      <w:pPr>
        <w:tabs>
          <w:tab w:val="center" w:pos="1064"/>
          <w:tab w:val="center" w:pos="6124"/>
        </w:tabs>
        <w:spacing w:after="2141" w:line="259" w:lineRule="auto"/>
        <w:ind w:left="0" w:right="0" w:firstLine="0"/>
        <w:jc w:val="center"/>
        <w:rPr>
          <w:sz w:val="36"/>
          <w:szCs w:val="36"/>
        </w:rPr>
      </w:pPr>
      <w:r>
        <w:rPr>
          <w:noProof/>
        </w:rPr>
        <mc:AlternateContent>
          <mc:Choice Requires="wpg">
            <w:drawing>
              <wp:anchor distT="0" distB="0" distL="114300" distR="114300" simplePos="0" relativeHeight="251658240" behindDoc="1" locked="0" layoutInCell="1" allowOverlap="1" wp14:anchorId="6E5CE066" wp14:editId="7C198F67">
                <wp:simplePos x="0" y="0"/>
                <wp:positionH relativeFrom="margin">
                  <wp:align>left</wp:align>
                </wp:positionH>
                <wp:positionV relativeFrom="paragraph">
                  <wp:posOffset>1401445</wp:posOffset>
                </wp:positionV>
                <wp:extent cx="6181725" cy="1962150"/>
                <wp:effectExtent l="0" t="0" r="9525" b="0"/>
                <wp:wrapNone/>
                <wp:docPr id="3309" name="Group 3309"/>
                <wp:cNvGraphicFramePr/>
                <a:graphic xmlns:a="http://schemas.openxmlformats.org/drawingml/2006/main">
                  <a:graphicData uri="http://schemas.microsoft.com/office/word/2010/wordprocessingGroup">
                    <wpg:wgp>
                      <wpg:cNvGrpSpPr/>
                      <wpg:grpSpPr>
                        <a:xfrm>
                          <a:off x="0" y="0"/>
                          <a:ext cx="6181725" cy="1447800"/>
                          <a:chOff x="0" y="0"/>
                          <a:chExt cx="6120130" cy="843280"/>
                        </a:xfrm>
                      </wpg:grpSpPr>
                      <wps:wsp>
                        <wps:cNvPr id="4273" name="Shape 4273"/>
                        <wps:cNvSpPr/>
                        <wps:spPr>
                          <a:xfrm>
                            <a:off x="0" y="0"/>
                            <a:ext cx="6120130" cy="220980"/>
                          </a:xfrm>
                          <a:custGeom>
                            <a:avLst/>
                            <a:gdLst/>
                            <a:ahLst/>
                            <a:cxnLst/>
                            <a:rect l="0" t="0" r="0" b="0"/>
                            <a:pathLst>
                              <a:path w="6120130" h="220980">
                                <a:moveTo>
                                  <a:pt x="0" y="0"/>
                                </a:moveTo>
                                <a:lnTo>
                                  <a:pt x="6120130" y="0"/>
                                </a:lnTo>
                                <a:lnTo>
                                  <a:pt x="6120130" y="220980"/>
                                </a:lnTo>
                                <a:lnTo>
                                  <a:pt x="0" y="220980"/>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4274" name="Shape 4274"/>
                        <wps:cNvSpPr/>
                        <wps:spPr>
                          <a:xfrm>
                            <a:off x="0" y="219710"/>
                            <a:ext cx="6120130" cy="403860"/>
                          </a:xfrm>
                          <a:custGeom>
                            <a:avLst/>
                            <a:gdLst/>
                            <a:ahLst/>
                            <a:cxnLst/>
                            <a:rect l="0" t="0" r="0" b="0"/>
                            <a:pathLst>
                              <a:path w="6120130" h="403860">
                                <a:moveTo>
                                  <a:pt x="0" y="0"/>
                                </a:moveTo>
                                <a:lnTo>
                                  <a:pt x="6120130" y="0"/>
                                </a:lnTo>
                                <a:lnTo>
                                  <a:pt x="6120130" y="403860"/>
                                </a:lnTo>
                                <a:lnTo>
                                  <a:pt x="0" y="403860"/>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4275" name="Shape 4275"/>
                        <wps:cNvSpPr/>
                        <wps:spPr>
                          <a:xfrm>
                            <a:off x="0" y="622300"/>
                            <a:ext cx="6120130" cy="220980"/>
                          </a:xfrm>
                          <a:custGeom>
                            <a:avLst/>
                            <a:gdLst/>
                            <a:ahLst/>
                            <a:cxnLst/>
                            <a:rect l="0" t="0" r="0" b="0"/>
                            <a:pathLst>
                              <a:path w="6120130" h="220980">
                                <a:moveTo>
                                  <a:pt x="0" y="0"/>
                                </a:moveTo>
                                <a:lnTo>
                                  <a:pt x="6120130" y="0"/>
                                </a:lnTo>
                                <a:lnTo>
                                  <a:pt x="6120130" y="220980"/>
                                </a:lnTo>
                                <a:lnTo>
                                  <a:pt x="0" y="220980"/>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22" name="Shape 22"/>
                        <wps:cNvSpPr/>
                        <wps:spPr>
                          <a:xfrm>
                            <a:off x="0" y="0"/>
                            <a:ext cx="6350" cy="843280"/>
                          </a:xfrm>
                          <a:custGeom>
                            <a:avLst/>
                            <a:gdLst/>
                            <a:ahLst/>
                            <a:cxnLst/>
                            <a:rect l="0" t="0" r="0" b="0"/>
                            <a:pathLst>
                              <a:path w="6350" h="843280">
                                <a:moveTo>
                                  <a:pt x="0" y="0"/>
                                </a:moveTo>
                                <a:lnTo>
                                  <a:pt x="2540" y="2539"/>
                                </a:lnTo>
                                <a:lnTo>
                                  <a:pt x="6350" y="6350"/>
                                </a:lnTo>
                                <a:lnTo>
                                  <a:pt x="6350" y="836930"/>
                                </a:lnTo>
                                <a:lnTo>
                                  <a:pt x="2540" y="839470"/>
                                </a:lnTo>
                                <a:lnTo>
                                  <a:pt x="0" y="843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6113780" y="0"/>
                            <a:ext cx="6350" cy="843280"/>
                          </a:xfrm>
                          <a:custGeom>
                            <a:avLst/>
                            <a:gdLst/>
                            <a:ahLst/>
                            <a:cxnLst/>
                            <a:rect l="0" t="0" r="0" b="0"/>
                            <a:pathLst>
                              <a:path w="6350" h="843280">
                                <a:moveTo>
                                  <a:pt x="6350" y="0"/>
                                </a:moveTo>
                                <a:lnTo>
                                  <a:pt x="6350" y="843280"/>
                                </a:lnTo>
                                <a:lnTo>
                                  <a:pt x="2540" y="839470"/>
                                </a:lnTo>
                                <a:lnTo>
                                  <a:pt x="0" y="83693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0" y="0"/>
                            <a:ext cx="6120130" cy="6350"/>
                          </a:xfrm>
                          <a:custGeom>
                            <a:avLst/>
                            <a:gdLst/>
                            <a:ahLst/>
                            <a:cxnLst/>
                            <a:rect l="0" t="0" r="0" b="0"/>
                            <a:pathLst>
                              <a:path w="6120130" h="6350">
                                <a:moveTo>
                                  <a:pt x="0" y="0"/>
                                </a:moveTo>
                                <a:lnTo>
                                  <a:pt x="6120130" y="0"/>
                                </a:lnTo>
                                <a:lnTo>
                                  <a:pt x="6116320" y="2539"/>
                                </a:lnTo>
                                <a:lnTo>
                                  <a:pt x="611378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0" y="836930"/>
                            <a:ext cx="6120130" cy="6350"/>
                          </a:xfrm>
                          <a:custGeom>
                            <a:avLst/>
                            <a:gdLst/>
                            <a:ahLst/>
                            <a:cxnLst/>
                            <a:rect l="0" t="0" r="0" b="0"/>
                            <a:pathLst>
                              <a:path w="6120130" h="6350">
                                <a:moveTo>
                                  <a:pt x="6350" y="0"/>
                                </a:moveTo>
                                <a:lnTo>
                                  <a:pt x="6113780" y="0"/>
                                </a:lnTo>
                                <a:lnTo>
                                  <a:pt x="6116320" y="2540"/>
                                </a:lnTo>
                                <a:lnTo>
                                  <a:pt x="612013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C9BB40" id="Group 3309" o:spid="_x0000_s1026" style="position:absolute;margin-left:0;margin-top:110.35pt;width:486.75pt;height:154.5pt;z-index:-251658240;mso-position-horizontal:left;mso-position-horizontal-relative:margin;mso-width-relative:margin;mso-height-relative:margin" coordsize="61201,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">
                <v:shape id="Shape 4273" o:spid="_x0000_s1027" style="position:absolute;width:61201;height:2209;visibility:visible;mso-wrap-style:square;v-text-anchor:top" coordsize="612013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" path="m,l6120130,r,220980l,220980,,e" fillcolor="#cfc" stroked="f" strokeweight="0">
                  <v:stroke miterlimit="83231f" joinstyle="miter"/>
                  <v:path arrowok="t" textboxrect="0,0,6120130,220980"/>
                </v:shape>
                <v:shape id="Shape 4274" o:spid="_x0000_s1028" style="position:absolute;top:2197;width:61201;height:4038;visibility:visible;mso-wrap-style:square;v-text-anchor:top" coordsize="612013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" path="m,l6120130,r,403860l,403860,,e" fillcolor="#cfc" stroked="f" strokeweight="0">
                  <v:stroke miterlimit="83231f" joinstyle="miter"/>
                  <v:path arrowok="t" textboxrect="0,0,6120130,403860"/>
                </v:shape>
                <v:shape id="Shape 4275" o:spid="_x0000_s1029" style="position:absolute;top:6223;width:61201;height:2209;visibility:visible;mso-wrap-style:square;v-text-anchor:top" coordsize="612013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" path="m,l6120130,r,220980l,220980,,e" fillcolor="#cfc" stroked="f" strokeweight="0">
                  <v:stroke miterlimit="83231f" joinstyle="miter"/>
                  <v:path arrowok="t" textboxrect="0,0,6120130,220980"/>
                </v:shape>
                <v:shape id="Shape 22" o:spid="_x0000_s1030" style="position:absolute;width:63;height:8432;visibility:visible;mso-wrap-style:square;v-text-anchor:top" coordsize="6350,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" path="m,l2540,2539,6350,6350r,830580l2540,839470,,843280,,xe" fillcolor="black" stroked="f" strokeweight="0">
                  <v:stroke miterlimit="83231f" joinstyle="miter"/>
                  <v:path arrowok="t" textboxrect="0,0,6350,843280"/>
                </v:shape>
                <v:shape id="Shape 23" o:spid="_x0000_s1031" style="position:absolute;left:61137;width:64;height:8432;visibility:visible;mso-wrap-style:square;v-text-anchor:top" coordsize="6350,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" path="m6350,r,843280l2540,839470,,836930,,6350,2540,2539,6350,xe" fillcolor="black" stroked="f" strokeweight="0">
                  <v:stroke miterlimit="83231f" joinstyle="miter"/>
                  <v:path arrowok="t" textboxrect="0,0,6350,843280"/>
                </v:shape>
                <v:shape id="Shape 24" o:spid="_x0000_s1032" style="position:absolute;width:61201;height:63;visibility:visible;mso-wrap-style:square;v-text-anchor:top" coordsize="61201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" path="m,l6120130,r-3810,2539l6113780,6350,6350,6350,2540,2539,,xe" fillcolor="black" stroked="f" strokeweight="0">
                  <v:stroke miterlimit="83231f" joinstyle="miter"/>
                  <v:path arrowok="t" textboxrect="0,0,6120130,6350"/>
                </v:shape>
                <v:shape id="Shape 25" o:spid="_x0000_s1033" style="position:absolute;top:8369;width:61201;height:63;visibility:visible;mso-wrap-style:square;v-text-anchor:top" coordsize="61201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" path="m6350,l6113780,r2540,2540l6120130,6350,,6350,2540,2540,6350,xe" fillcolor="black" stroked="f" strokeweight="0">
                  <v:stroke miterlimit="83231f" joinstyle="miter"/>
                  <v:path arrowok="t" textboxrect="0,0,6120130,6350"/>
                </v:shape>
                <w10:wrap anchorx="margin"/>
              </v:group>
            </w:pict>
          </mc:Fallback>
        </mc:AlternateContent>
      </w:r>
      <w:r w:rsidR="00224E6B" w:rsidRPr="00654460">
        <w:rPr>
          <w:b/>
          <w:color w:val="000066"/>
          <w:sz w:val="36"/>
          <w:szCs w:val="36"/>
        </w:rPr>
        <w:t>RÈGLEMENT DE CONSULTATION</w:t>
      </w:r>
    </w:p>
    <w:p w:rsidR="00EC164D" w:rsidRDefault="00EC164D" w:rsidP="00BE3136">
      <w:pPr>
        <w:tabs>
          <w:tab w:val="left" w:pos="426"/>
          <w:tab w:val="left" w:pos="851"/>
        </w:tabs>
        <w:suppressAutoHyphens/>
        <w:spacing w:after="0" w:line="240" w:lineRule="auto"/>
        <w:ind w:left="0" w:right="0" w:firstLine="0"/>
        <w:jc w:val="center"/>
        <w:rPr>
          <w:rFonts w:ascii="Univers" w:eastAsia="Times New Roman" w:hAnsi="Univers" w:cs="Univers"/>
          <w:b/>
          <w:color w:val="auto"/>
          <w:sz w:val="28"/>
          <w:szCs w:val="28"/>
          <w:lang w:eastAsia="zh-CN"/>
        </w:rPr>
      </w:pPr>
      <w:r w:rsidRPr="00EC164D">
        <w:rPr>
          <w:rFonts w:ascii="Univers" w:eastAsia="Times New Roman" w:hAnsi="Univers" w:cs="Univers"/>
          <w:b/>
          <w:color w:val="auto"/>
          <w:sz w:val="28"/>
          <w:szCs w:val="28"/>
          <w:lang w:eastAsia="zh-CN"/>
        </w:rPr>
        <w:t xml:space="preserve">FOURNITURE </w:t>
      </w:r>
      <w:r w:rsidR="00BE3136">
        <w:rPr>
          <w:rFonts w:ascii="Univers" w:eastAsia="Times New Roman" w:hAnsi="Univers" w:cs="Univers"/>
          <w:b/>
          <w:color w:val="auto"/>
          <w:sz w:val="28"/>
          <w:szCs w:val="28"/>
          <w:lang w:eastAsia="zh-CN"/>
        </w:rPr>
        <w:t>D’UN COMPRESSEUR POUR LA FILIERE BOIS</w:t>
      </w:r>
      <w:r w:rsidRPr="00EC164D">
        <w:rPr>
          <w:rFonts w:ascii="Univers" w:eastAsia="Times New Roman" w:hAnsi="Univers" w:cs="Univers"/>
          <w:b/>
          <w:color w:val="auto"/>
          <w:sz w:val="28"/>
          <w:szCs w:val="28"/>
          <w:lang w:eastAsia="zh-CN"/>
        </w:rPr>
        <w:t xml:space="preserve"> DU LYCEE POLYVALENT HAROUN TAZIEFF </w:t>
      </w:r>
    </w:p>
    <w:p w:rsidR="00EC164D" w:rsidRPr="00EC164D" w:rsidRDefault="00EC164D" w:rsidP="00EC164D">
      <w:pPr>
        <w:tabs>
          <w:tab w:val="left" w:pos="426"/>
          <w:tab w:val="left" w:pos="851"/>
        </w:tabs>
        <w:suppressAutoHyphens/>
        <w:spacing w:after="0" w:line="240" w:lineRule="auto"/>
        <w:ind w:left="0" w:right="0" w:firstLine="0"/>
        <w:jc w:val="center"/>
        <w:rPr>
          <w:rFonts w:ascii="Arial" w:eastAsia="Times New Roman" w:hAnsi="Arial" w:cs="Arial"/>
          <w:b/>
          <w:color w:val="auto"/>
          <w:sz w:val="28"/>
          <w:szCs w:val="28"/>
          <w:lang w:eastAsia="zh-CN"/>
        </w:rPr>
      </w:pPr>
      <w:r w:rsidRPr="00EC164D">
        <w:rPr>
          <w:rFonts w:ascii="Univers" w:eastAsia="Times New Roman" w:hAnsi="Univers" w:cs="Univers"/>
          <w:b/>
          <w:color w:val="auto"/>
          <w:sz w:val="28"/>
          <w:szCs w:val="28"/>
          <w:lang w:eastAsia="zh-CN"/>
        </w:rPr>
        <w:t>DE SAINT PAUL LES DAX</w:t>
      </w:r>
    </w:p>
    <w:p w:rsidR="002A75F5" w:rsidRPr="00EC164D" w:rsidRDefault="00EC164D" w:rsidP="00EC164D">
      <w:pPr>
        <w:tabs>
          <w:tab w:val="left" w:pos="3330"/>
        </w:tabs>
        <w:spacing w:after="1740" w:line="239" w:lineRule="auto"/>
        <w:ind w:left="0" w:right="0" w:firstLine="0"/>
        <w:rPr>
          <w:b/>
          <w:sz w:val="28"/>
          <w:szCs w:val="28"/>
        </w:rPr>
      </w:pPr>
      <w:r>
        <w:rPr>
          <w:b/>
          <w:sz w:val="28"/>
          <w:szCs w:val="28"/>
        </w:rPr>
        <w:tab/>
      </w:r>
    </w:p>
    <w:p w:rsidR="002A75F5" w:rsidRDefault="00224E6B">
      <w:pPr>
        <w:spacing w:after="824" w:line="265" w:lineRule="auto"/>
        <w:jc w:val="center"/>
      </w:pPr>
      <w:r>
        <w:t>La procédure de consultation utilisée est la suivante :</w:t>
      </w:r>
    </w:p>
    <w:p w:rsidR="002A75F5" w:rsidRDefault="00224E6B">
      <w:pPr>
        <w:spacing w:after="1066" w:line="241" w:lineRule="auto"/>
        <w:ind w:left="0" w:right="0" w:firstLine="0"/>
        <w:jc w:val="center"/>
      </w:pPr>
      <w:r>
        <w:rPr>
          <w:b/>
          <w:sz w:val="23"/>
        </w:rPr>
        <w:t>Marché passé en Procédure Adaptée en application de l’article 27 du décret n°2016-360 du 25 mars 2016 relatif aux marchés publics</w:t>
      </w:r>
    </w:p>
    <w:p w:rsidR="002A75F5" w:rsidRDefault="00224E6B">
      <w:pPr>
        <w:spacing w:after="1026" w:line="265" w:lineRule="auto"/>
        <w:ind w:right="3"/>
        <w:jc w:val="center"/>
      </w:pPr>
      <w:r>
        <w:t>Date et heure limites de réception des offres</w:t>
      </w:r>
    </w:p>
    <w:p w:rsidR="00C659D2" w:rsidRPr="004F36A4" w:rsidRDefault="00BE3136">
      <w:pPr>
        <w:spacing w:after="1026" w:line="265" w:lineRule="auto"/>
        <w:ind w:right="3"/>
        <w:jc w:val="center"/>
        <w:rPr>
          <w:b/>
        </w:rPr>
      </w:pPr>
      <w:r>
        <w:rPr>
          <w:b/>
        </w:rPr>
        <w:t>VENDREDI</w:t>
      </w:r>
      <w:r w:rsidR="00EC164D">
        <w:rPr>
          <w:b/>
        </w:rPr>
        <w:t xml:space="preserve"> </w:t>
      </w:r>
      <w:r>
        <w:rPr>
          <w:b/>
        </w:rPr>
        <w:t>11</w:t>
      </w:r>
      <w:r w:rsidR="00C659D2" w:rsidRPr="004F36A4">
        <w:rPr>
          <w:b/>
        </w:rPr>
        <w:t xml:space="preserve"> </w:t>
      </w:r>
      <w:r>
        <w:rPr>
          <w:b/>
        </w:rPr>
        <w:t>FEVRIER</w:t>
      </w:r>
      <w:r w:rsidR="00C659D2" w:rsidRPr="004F36A4">
        <w:rPr>
          <w:b/>
        </w:rPr>
        <w:t xml:space="preserve"> </w:t>
      </w:r>
      <w:r>
        <w:rPr>
          <w:b/>
        </w:rPr>
        <w:t>2022</w:t>
      </w:r>
      <w:r w:rsidR="00C659D2" w:rsidRPr="004F36A4">
        <w:rPr>
          <w:b/>
        </w:rPr>
        <w:t xml:space="preserve"> </w:t>
      </w:r>
      <w:r w:rsidR="004F36A4">
        <w:rPr>
          <w:b/>
        </w:rPr>
        <w:t xml:space="preserve">à </w:t>
      </w:r>
      <w:r w:rsidR="00C659D2" w:rsidRPr="004F36A4">
        <w:rPr>
          <w:b/>
        </w:rPr>
        <w:t>1</w:t>
      </w:r>
      <w:r w:rsidR="00EC164D">
        <w:rPr>
          <w:b/>
        </w:rPr>
        <w:t>8</w:t>
      </w:r>
      <w:r w:rsidR="00C659D2" w:rsidRPr="004F36A4">
        <w:rPr>
          <w:b/>
        </w:rPr>
        <w:t xml:space="preserve"> heures</w:t>
      </w:r>
    </w:p>
    <w:p w:rsidR="00EC164D" w:rsidRPr="00EC164D" w:rsidRDefault="00224E6B" w:rsidP="00EC164D">
      <w:pPr>
        <w:tabs>
          <w:tab w:val="left" w:pos="426"/>
          <w:tab w:val="left" w:pos="851"/>
        </w:tabs>
        <w:suppressAutoHyphens/>
        <w:spacing w:after="0" w:line="240" w:lineRule="auto"/>
        <w:ind w:left="0" w:right="0" w:firstLine="0"/>
        <w:jc w:val="center"/>
        <w:rPr>
          <w:rFonts w:ascii="Arial" w:hAnsi="Arial" w:cs="Arial"/>
          <w:bCs/>
          <w:kern w:val="36"/>
          <w:sz w:val="20"/>
          <w:szCs w:val="20"/>
        </w:rPr>
      </w:pPr>
      <w:r>
        <w:t xml:space="preserve">Référence : </w:t>
      </w:r>
      <w:r w:rsidR="00A03B8F" w:rsidRPr="00A03B8F">
        <w:rPr>
          <w:rFonts w:ascii="Arial" w:hAnsi="Arial" w:cs="Arial"/>
          <w:bCs/>
          <w:kern w:val="36"/>
          <w:sz w:val="20"/>
          <w:szCs w:val="20"/>
        </w:rPr>
        <w:t>PAJI-20</w:t>
      </w:r>
      <w:r w:rsidR="00BE3136">
        <w:rPr>
          <w:rFonts w:ascii="Arial" w:hAnsi="Arial" w:cs="Arial"/>
          <w:bCs/>
          <w:kern w:val="36"/>
          <w:sz w:val="20"/>
          <w:szCs w:val="20"/>
        </w:rPr>
        <w:t>22</w:t>
      </w:r>
      <w:r w:rsidR="00A03B8F" w:rsidRPr="00A03B8F">
        <w:rPr>
          <w:rFonts w:ascii="Arial" w:hAnsi="Arial" w:cs="Arial"/>
          <w:bCs/>
          <w:kern w:val="36"/>
          <w:sz w:val="20"/>
          <w:szCs w:val="20"/>
        </w:rPr>
        <w:t xml:space="preserve"> </w:t>
      </w:r>
      <w:r w:rsidR="00EC164D" w:rsidRPr="00A03B8F">
        <w:rPr>
          <w:rFonts w:ascii="Arial" w:hAnsi="Arial" w:cs="Arial"/>
          <w:bCs/>
          <w:kern w:val="36"/>
          <w:sz w:val="20"/>
          <w:szCs w:val="20"/>
        </w:rPr>
        <w:t xml:space="preserve">FOURNITURE </w:t>
      </w:r>
      <w:r w:rsidR="00BE3136">
        <w:rPr>
          <w:rFonts w:ascii="Arial" w:hAnsi="Arial" w:cs="Arial"/>
          <w:bCs/>
          <w:kern w:val="36"/>
          <w:sz w:val="20"/>
          <w:szCs w:val="20"/>
        </w:rPr>
        <w:t>D’UN COMPRESSEUR</w:t>
      </w:r>
      <w:r w:rsidR="00EC164D" w:rsidRPr="00EC164D">
        <w:rPr>
          <w:rFonts w:ascii="Arial" w:hAnsi="Arial" w:cs="Arial"/>
          <w:bCs/>
          <w:kern w:val="36"/>
          <w:sz w:val="20"/>
          <w:szCs w:val="20"/>
        </w:rPr>
        <w:t xml:space="preserve"> </w:t>
      </w:r>
    </w:p>
    <w:p w:rsidR="002A75F5" w:rsidRDefault="00EC164D" w:rsidP="003D3CC0">
      <w:pPr>
        <w:spacing w:after="0" w:line="240" w:lineRule="auto"/>
        <w:ind w:right="1"/>
        <w:jc w:val="center"/>
      </w:pPr>
      <w:r w:rsidRPr="00EC164D">
        <w:rPr>
          <w:rFonts w:ascii="Arial" w:hAnsi="Arial" w:cs="Arial"/>
          <w:bCs/>
          <w:kern w:val="36"/>
          <w:sz w:val="20"/>
          <w:szCs w:val="20"/>
        </w:rPr>
        <w:t xml:space="preserve">POUR LA FILIERE </w:t>
      </w:r>
      <w:r w:rsidR="00BE3136">
        <w:rPr>
          <w:rFonts w:ascii="Arial" w:hAnsi="Arial" w:cs="Arial"/>
          <w:bCs/>
          <w:kern w:val="36"/>
          <w:sz w:val="20"/>
          <w:szCs w:val="20"/>
        </w:rPr>
        <w:t>BOIS</w:t>
      </w:r>
      <w:r>
        <w:rPr>
          <w:rFonts w:ascii="Arial" w:hAnsi="Arial" w:cs="Arial"/>
          <w:bCs/>
          <w:kern w:val="36"/>
          <w:sz w:val="20"/>
          <w:szCs w:val="20"/>
        </w:rPr>
        <w:t xml:space="preserve"> </w:t>
      </w:r>
      <w:r w:rsidRPr="00A03B8F">
        <w:rPr>
          <w:rFonts w:ascii="Arial" w:hAnsi="Arial" w:cs="Arial"/>
          <w:bCs/>
          <w:kern w:val="36"/>
          <w:sz w:val="20"/>
          <w:szCs w:val="20"/>
        </w:rPr>
        <w:t>DU LYCEE HAROUN TAZIEFF</w:t>
      </w:r>
    </w:p>
    <w:p w:rsidR="00EF6E03" w:rsidRDefault="00EF6E03">
      <w:pPr>
        <w:spacing w:after="824" w:line="265" w:lineRule="auto"/>
        <w:ind w:right="1"/>
        <w:jc w:val="center"/>
      </w:pPr>
    </w:p>
    <w:p w:rsidR="00A34DC6" w:rsidRDefault="00A34DC6">
      <w:pPr>
        <w:spacing w:after="824" w:line="265" w:lineRule="auto"/>
        <w:ind w:right="1"/>
        <w:jc w:val="center"/>
      </w:pPr>
    </w:p>
    <w:p w:rsidR="002A75F5" w:rsidRDefault="00224E6B">
      <w:pPr>
        <w:pStyle w:val="Titre1"/>
        <w:ind w:left="-5"/>
      </w:pPr>
      <w:r>
        <w:rPr>
          <w:u w:val="none"/>
        </w:rPr>
        <w:t xml:space="preserve">ARTICLE 1 – </w:t>
      </w:r>
      <w:r>
        <w:t xml:space="preserve">OBJET ET FORME DE LA CONSULTATION </w:t>
      </w:r>
    </w:p>
    <w:p w:rsidR="00EC164D" w:rsidRPr="00EC164D" w:rsidRDefault="00224E6B" w:rsidP="00EC164D">
      <w:pPr>
        <w:tabs>
          <w:tab w:val="left" w:pos="426"/>
          <w:tab w:val="left" w:pos="851"/>
        </w:tabs>
        <w:suppressAutoHyphens/>
        <w:spacing w:after="0" w:line="240" w:lineRule="auto"/>
        <w:ind w:left="0" w:right="0" w:firstLine="0"/>
        <w:jc w:val="left"/>
        <w:rPr>
          <w:b/>
        </w:rPr>
      </w:pPr>
      <w:r w:rsidRPr="00EC164D">
        <w:rPr>
          <w:b/>
        </w:rPr>
        <w:t>La consultation porte sur l</w:t>
      </w:r>
      <w:r w:rsidR="002222F4" w:rsidRPr="00EC164D">
        <w:rPr>
          <w:b/>
        </w:rPr>
        <w:t xml:space="preserve">a </w:t>
      </w:r>
      <w:r w:rsidR="00EC164D" w:rsidRPr="00EC164D">
        <w:rPr>
          <w:b/>
        </w:rPr>
        <w:t xml:space="preserve">fourniture </w:t>
      </w:r>
      <w:r w:rsidR="00BE3136">
        <w:rPr>
          <w:b/>
        </w:rPr>
        <w:t>d’un compresseur</w:t>
      </w:r>
      <w:r w:rsidR="00EC164D" w:rsidRPr="00EC164D">
        <w:rPr>
          <w:b/>
        </w:rPr>
        <w:t xml:space="preserve"> pour la filière </w:t>
      </w:r>
      <w:r w:rsidR="00BE3136">
        <w:rPr>
          <w:b/>
        </w:rPr>
        <w:t>Bois</w:t>
      </w:r>
      <w:r w:rsidR="00EC164D" w:rsidRPr="00EC164D">
        <w:rPr>
          <w:b/>
        </w:rPr>
        <w:t xml:space="preserve"> du lycée polyvalent Haroun Tazieff De Saint Paul Les Dax</w:t>
      </w:r>
    </w:p>
    <w:p w:rsidR="00473C29" w:rsidRPr="00B75506" w:rsidRDefault="00A03B8F" w:rsidP="00EB11F4">
      <w:pPr>
        <w:spacing w:after="0" w:line="240" w:lineRule="auto"/>
        <w:ind w:left="0" w:right="0" w:firstLine="0"/>
        <w:jc w:val="left"/>
      </w:pPr>
      <w:r>
        <w:t>.</w:t>
      </w:r>
      <w:r w:rsidR="00033133">
        <w:t xml:space="preserve"> </w:t>
      </w:r>
      <w:r w:rsidR="00224E6B" w:rsidRPr="00B75506">
        <w:t>Les prestations feront l'objet d'un marché à procédure adaptée passé en application de l'article 27 du décret n°2016-360 du 25 mars 2016 relatif aux Marchés Publics</w:t>
      </w:r>
    </w:p>
    <w:p w:rsidR="00EC164D" w:rsidRDefault="00EC164D">
      <w:pPr>
        <w:pStyle w:val="Titre1"/>
        <w:spacing w:after="178"/>
        <w:ind w:left="-5"/>
        <w:rPr>
          <w:u w:val="none"/>
        </w:rPr>
      </w:pPr>
    </w:p>
    <w:p w:rsidR="002A75F5" w:rsidRDefault="00224E6B">
      <w:pPr>
        <w:pStyle w:val="Titre1"/>
        <w:spacing w:after="178"/>
        <w:ind w:left="-5"/>
      </w:pPr>
      <w:r>
        <w:rPr>
          <w:u w:val="none"/>
        </w:rPr>
        <w:t xml:space="preserve">ARTICLE 2 – </w:t>
      </w:r>
      <w:r>
        <w:t>DURÉE DU MARCHE/PÉRIODE D’EXÉCUTION</w:t>
      </w:r>
    </w:p>
    <w:p w:rsidR="002A75F5" w:rsidRDefault="002222F4">
      <w:pPr>
        <w:spacing w:after="231"/>
        <w:ind w:left="-5" w:right="11"/>
      </w:pPr>
      <w:r>
        <w:t xml:space="preserve">Le marché devra être exécuté </w:t>
      </w:r>
      <w:r w:rsidR="005F26AB">
        <w:t xml:space="preserve">entre </w:t>
      </w:r>
      <w:r w:rsidR="005F26AB" w:rsidRPr="00C659D2">
        <w:t xml:space="preserve">le </w:t>
      </w:r>
      <w:r w:rsidR="00BE3136">
        <w:rPr>
          <w:b/>
          <w:bCs/>
        </w:rPr>
        <w:t xml:space="preserve">14 février et le </w:t>
      </w:r>
      <w:r w:rsidR="00A34DC6">
        <w:rPr>
          <w:b/>
          <w:bCs/>
        </w:rPr>
        <w:t>20</w:t>
      </w:r>
      <w:r w:rsidR="00BE3136">
        <w:rPr>
          <w:b/>
          <w:bCs/>
        </w:rPr>
        <w:t xml:space="preserve"> mars 2022</w:t>
      </w:r>
      <w:r w:rsidR="00A34DC6">
        <w:rPr>
          <w:b/>
          <w:bCs/>
        </w:rPr>
        <w:t xml:space="preserve">, </w:t>
      </w:r>
      <w:bookmarkStart w:id="0" w:name="_GoBack"/>
      <w:bookmarkEnd w:id="0"/>
      <w:r w:rsidR="00A34DC6">
        <w:rPr>
          <w:b/>
          <w:bCs/>
        </w:rPr>
        <w:t>hors vacances scolaires</w:t>
      </w:r>
      <w:r w:rsidR="005F26AB">
        <w:t xml:space="preserve">. </w:t>
      </w:r>
      <w:r w:rsidR="00224E6B">
        <w:t xml:space="preserve">Le marché est conclu à compter de sa notification. La date prévisionnelle de notification est fixée </w:t>
      </w:r>
      <w:r w:rsidR="00224E6B" w:rsidRPr="00C659D2">
        <w:t xml:space="preserve">au </w:t>
      </w:r>
      <w:r w:rsidR="00BE3136">
        <w:t>11 février 2022</w:t>
      </w:r>
      <w:r w:rsidR="00224E6B" w:rsidRPr="00C659D2">
        <w:t>.</w:t>
      </w:r>
    </w:p>
    <w:p w:rsidR="002A75F5" w:rsidRDefault="00224E6B">
      <w:pPr>
        <w:pStyle w:val="Titre1"/>
        <w:spacing w:after="182"/>
        <w:ind w:left="-5"/>
      </w:pPr>
      <w:r>
        <w:rPr>
          <w:u w:val="none"/>
        </w:rPr>
        <w:t xml:space="preserve">ARTICLE 3 – </w:t>
      </w:r>
      <w:r>
        <w:t>ALLOTISSEMENT</w:t>
      </w:r>
    </w:p>
    <w:p w:rsidR="00473C29" w:rsidRPr="00EC164D" w:rsidRDefault="000D530C" w:rsidP="000A0EC5">
      <w:pPr>
        <w:tabs>
          <w:tab w:val="left" w:pos="426"/>
          <w:tab w:val="left" w:pos="851"/>
        </w:tabs>
        <w:suppressAutoHyphens/>
        <w:spacing w:after="0" w:line="240" w:lineRule="auto"/>
        <w:ind w:left="0" w:right="0" w:firstLine="0"/>
        <w:jc w:val="left"/>
      </w:pPr>
      <w:r>
        <w:t xml:space="preserve">Ce marché </w:t>
      </w:r>
      <w:r w:rsidRPr="00EC164D">
        <w:t>« </w:t>
      </w:r>
      <w:r w:rsidR="00BE3136">
        <w:t>COMPRESSEUR POUR LA FILIERE BOIS DU LYCEE HAROUN TAZIEFF</w:t>
      </w:r>
      <w:r w:rsidR="00F3082F" w:rsidRPr="00EC164D">
        <w:t xml:space="preserve"> »</w:t>
      </w:r>
      <w:r w:rsidRPr="00EC164D">
        <w:t xml:space="preserve"> </w:t>
      </w:r>
      <w:r w:rsidR="00BE3136">
        <w:t>ne comporte qu’un seul lo</w:t>
      </w:r>
      <w:r w:rsidR="00CB5059">
        <w:t>t</w:t>
      </w:r>
      <w:r>
        <w:t xml:space="preserve">. Il est </w:t>
      </w:r>
      <w:r w:rsidR="002E38C2" w:rsidRPr="00EC164D">
        <w:t>composé de :</w:t>
      </w:r>
    </w:p>
    <w:p w:rsidR="00EB11F4" w:rsidRPr="002E38C2" w:rsidRDefault="00EB11F4" w:rsidP="00473C29">
      <w:pPr>
        <w:rPr>
          <w:b/>
        </w:rPr>
      </w:pPr>
    </w:p>
    <w:p w:rsidR="000A0EC5" w:rsidRDefault="00CB5059" w:rsidP="000A0EC5">
      <w:pPr>
        <w:spacing w:after="120"/>
        <w:rPr>
          <w:b/>
          <w:bCs/>
        </w:rPr>
      </w:pPr>
      <w:r>
        <w:rPr>
          <w:b/>
          <w:bCs/>
        </w:rPr>
        <w:t>Un c</w:t>
      </w:r>
      <w:r w:rsidR="00BE3136">
        <w:rPr>
          <w:b/>
          <w:bCs/>
        </w:rPr>
        <w:t>ompresseur pour la filière Bois du lycée Haroun Tazie</w:t>
      </w:r>
      <w:r w:rsidR="003F2569">
        <w:rPr>
          <w:b/>
          <w:bCs/>
        </w:rPr>
        <w:t>f</w:t>
      </w:r>
      <w:r w:rsidR="00BE3136">
        <w:rPr>
          <w:b/>
          <w:bCs/>
        </w:rPr>
        <w:t>f</w:t>
      </w:r>
    </w:p>
    <w:p w:rsidR="00CB5059" w:rsidRDefault="00CB5059" w:rsidP="00CB5059">
      <w:pPr>
        <w:spacing w:after="0"/>
      </w:pPr>
      <w:r>
        <w:t>Le compresseur installé dans son local devra permettre d’alimenter l’atelier de menuiserie (1200 m²)</w:t>
      </w:r>
      <w:r>
        <w:t xml:space="preserve"> </w:t>
      </w:r>
      <w:r>
        <w:t>et de construction bois (350m²). Le besoin est de 6 bars min à chaque sortie.</w:t>
      </w:r>
    </w:p>
    <w:p w:rsidR="00CB5059" w:rsidRPr="000A0EC5" w:rsidRDefault="00CB5059" w:rsidP="00CB5059">
      <w:pPr>
        <w:spacing w:after="120"/>
        <w:rPr>
          <w:b/>
        </w:rPr>
      </w:pPr>
      <w:r>
        <w:t>Le compresseur sera associé à un module sécheur d’air correspondant.</w:t>
      </w:r>
    </w:p>
    <w:p w:rsidR="00B75A35" w:rsidRDefault="00B75A35" w:rsidP="00327FF7">
      <w:pPr>
        <w:spacing w:after="120"/>
        <w:ind w:left="0" w:firstLine="0"/>
        <w:rPr>
          <w:b/>
          <w:u w:val="single"/>
        </w:rPr>
      </w:pPr>
    </w:p>
    <w:p w:rsidR="000A0EC5" w:rsidRPr="00327FF7" w:rsidRDefault="00327FF7" w:rsidP="00327FF7">
      <w:pPr>
        <w:spacing w:after="120"/>
        <w:ind w:left="0" w:firstLine="0"/>
        <w:rPr>
          <w:b/>
          <w:u w:val="single"/>
        </w:rPr>
      </w:pPr>
      <w:r w:rsidRPr="00327FF7">
        <w:rPr>
          <w:b/>
          <w:u w:val="single"/>
        </w:rPr>
        <w:t>C</w:t>
      </w:r>
      <w:r w:rsidR="000A0EC5" w:rsidRPr="00327FF7">
        <w:rPr>
          <w:b/>
          <w:u w:val="single"/>
        </w:rPr>
        <w:t>aractéristiques techniques</w:t>
      </w:r>
      <w:r w:rsidRPr="00327FF7">
        <w:rPr>
          <w:b/>
          <w:u w:val="single"/>
        </w:rPr>
        <w:t> :</w:t>
      </w:r>
      <w:r w:rsidR="000A0EC5" w:rsidRPr="00327FF7">
        <w:rPr>
          <w:b/>
          <w:u w:val="single"/>
        </w:rPr>
        <w:t xml:space="preserve"> </w:t>
      </w:r>
    </w:p>
    <w:p w:rsidR="00CB5059" w:rsidRDefault="00CB5059" w:rsidP="00CB5059">
      <w:pPr>
        <w:spacing w:after="0"/>
      </w:pPr>
      <w:r>
        <w:t>Une première étude nous permet de situer les caractéristiques techniques suivantes :</w:t>
      </w:r>
    </w:p>
    <w:p w:rsidR="00CB5059" w:rsidRDefault="00CB5059" w:rsidP="00CB5059">
      <w:pPr>
        <w:pStyle w:val="Paragraphedeliste"/>
        <w:numPr>
          <w:ilvl w:val="0"/>
          <w:numId w:val="11"/>
        </w:numPr>
        <w:spacing w:after="0"/>
      </w:pPr>
      <w:r>
        <w:t>Pression effective nominale :</w:t>
      </w:r>
      <w:r>
        <w:tab/>
      </w:r>
      <w:r>
        <w:tab/>
      </w:r>
      <w:r>
        <w:tab/>
        <w:t>8 bar</w:t>
      </w:r>
    </w:p>
    <w:p w:rsidR="00CB5059" w:rsidRDefault="00CB5059" w:rsidP="00CB5059">
      <w:pPr>
        <w:pStyle w:val="Paragraphedeliste"/>
        <w:numPr>
          <w:ilvl w:val="0"/>
          <w:numId w:val="11"/>
        </w:numPr>
        <w:spacing w:after="0"/>
      </w:pPr>
      <w:r>
        <w:t>Débit réel :</w:t>
      </w:r>
      <w:r>
        <w:tab/>
      </w:r>
      <w:r>
        <w:tab/>
      </w:r>
      <w:r>
        <w:tab/>
      </w:r>
      <w:r>
        <w:tab/>
      </w:r>
      <w:r>
        <w:tab/>
        <w:t>227.9 m3/h</w:t>
      </w:r>
    </w:p>
    <w:p w:rsidR="00CB5059" w:rsidRDefault="00CB5059" w:rsidP="00CB5059">
      <w:pPr>
        <w:pStyle w:val="Paragraphedeliste"/>
        <w:numPr>
          <w:ilvl w:val="0"/>
          <w:numId w:val="11"/>
        </w:numPr>
        <w:spacing w:after="0"/>
      </w:pPr>
      <w:r>
        <w:t xml:space="preserve">Puissance totale consommée à vide : </w:t>
      </w:r>
      <w:r>
        <w:tab/>
      </w:r>
      <w:r>
        <w:tab/>
        <w:t>28.6 kW</w:t>
      </w:r>
    </w:p>
    <w:p w:rsidR="00CB5059" w:rsidRDefault="00CB5059" w:rsidP="00CB5059">
      <w:pPr>
        <w:pStyle w:val="Paragraphedeliste"/>
        <w:numPr>
          <w:ilvl w:val="0"/>
          <w:numId w:val="11"/>
        </w:numPr>
        <w:spacing w:after="0"/>
      </w:pPr>
      <w:r>
        <w:t>Puissance totale consommée à vide :</w:t>
      </w:r>
      <w:r>
        <w:tab/>
      </w:r>
      <w:r>
        <w:tab/>
        <w:t>7.1 kW</w:t>
      </w:r>
    </w:p>
    <w:p w:rsidR="00CB5059" w:rsidRDefault="00CB5059" w:rsidP="00CB5059">
      <w:pPr>
        <w:pStyle w:val="Paragraphedeliste"/>
        <w:numPr>
          <w:ilvl w:val="0"/>
          <w:numId w:val="11"/>
        </w:numPr>
        <w:spacing w:after="0"/>
      </w:pPr>
      <w:r>
        <w:t xml:space="preserve">Energie spécifique totale : </w:t>
      </w:r>
      <w:r>
        <w:tab/>
      </w:r>
      <w:r>
        <w:tab/>
      </w:r>
      <w:r>
        <w:tab/>
        <w:t>125.5 Wh/m3</w:t>
      </w:r>
    </w:p>
    <w:p w:rsidR="000A0EC5" w:rsidRDefault="000A0EC5" w:rsidP="003F2569">
      <w:pPr>
        <w:spacing w:after="120"/>
      </w:pPr>
    </w:p>
    <w:p w:rsidR="00327FF7" w:rsidRDefault="00327FF7" w:rsidP="00327FF7">
      <w:pPr>
        <w:spacing w:after="120"/>
        <w:ind w:left="0" w:firstLine="0"/>
        <w:rPr>
          <w:b/>
          <w:u w:val="single"/>
        </w:rPr>
      </w:pPr>
      <w:r w:rsidRPr="00327FF7">
        <w:rPr>
          <w:b/>
          <w:u w:val="single"/>
        </w:rPr>
        <w:t>Mise en Service</w:t>
      </w:r>
      <w:r>
        <w:rPr>
          <w:b/>
          <w:u w:val="single"/>
        </w:rPr>
        <w:t> :</w:t>
      </w:r>
    </w:p>
    <w:p w:rsidR="00327FF7" w:rsidRPr="00327FF7" w:rsidRDefault="00327FF7" w:rsidP="00327FF7">
      <w:pPr>
        <w:spacing w:after="0" w:line="240" w:lineRule="auto"/>
        <w:ind w:left="0" w:right="0" w:firstLine="0"/>
        <w:rPr>
          <w:rFonts w:ascii="Arial" w:eastAsiaTheme="minorHAnsi" w:hAnsi="Arial" w:cs="Arial"/>
          <w:color w:val="auto"/>
          <w:sz w:val="20"/>
          <w:lang w:eastAsia="en-US"/>
        </w:rPr>
      </w:pPr>
      <w:r w:rsidRPr="00327FF7">
        <w:rPr>
          <w:rFonts w:ascii="Arial" w:eastAsiaTheme="minorHAnsi" w:hAnsi="Arial" w:cs="Arial"/>
          <w:color w:val="auto"/>
          <w:sz w:val="20"/>
          <w:lang w:eastAsia="en-US"/>
        </w:rPr>
        <w:t>Cette offre comprendra :</w:t>
      </w:r>
    </w:p>
    <w:p w:rsidR="00327FF7" w:rsidRPr="00327FF7" w:rsidRDefault="00327FF7" w:rsidP="00327FF7">
      <w:pPr>
        <w:numPr>
          <w:ilvl w:val="0"/>
          <w:numId w:val="10"/>
        </w:numPr>
        <w:spacing w:after="0" w:line="240" w:lineRule="auto"/>
        <w:ind w:left="709" w:right="0"/>
        <w:contextualSpacing/>
        <w:rPr>
          <w:rFonts w:ascii="Arial" w:eastAsiaTheme="minorHAnsi" w:hAnsi="Arial" w:cs="Arial"/>
          <w:color w:val="auto"/>
          <w:sz w:val="20"/>
          <w:lang w:eastAsia="en-US"/>
        </w:rPr>
      </w:pPr>
      <w:r w:rsidRPr="00327FF7">
        <w:rPr>
          <w:rFonts w:ascii="Arial" w:eastAsiaTheme="minorHAnsi" w:hAnsi="Arial" w:cs="Arial"/>
          <w:color w:val="auto"/>
          <w:sz w:val="20"/>
          <w:lang w:eastAsia="en-US"/>
        </w:rPr>
        <w:t>Le transport, le dédouanement, la livraison sur site</w:t>
      </w:r>
    </w:p>
    <w:p w:rsidR="008D43AB" w:rsidRDefault="00327FF7" w:rsidP="00327FF7">
      <w:pPr>
        <w:numPr>
          <w:ilvl w:val="0"/>
          <w:numId w:val="10"/>
        </w:numPr>
        <w:spacing w:after="0" w:line="240" w:lineRule="auto"/>
        <w:ind w:left="709" w:right="0"/>
        <w:contextualSpacing/>
        <w:rPr>
          <w:rFonts w:ascii="Arial" w:eastAsiaTheme="minorHAnsi" w:hAnsi="Arial" w:cs="Arial"/>
          <w:color w:val="auto"/>
          <w:sz w:val="20"/>
          <w:lang w:eastAsia="en-US"/>
        </w:rPr>
      </w:pPr>
      <w:r w:rsidRPr="008D43AB">
        <w:rPr>
          <w:rFonts w:ascii="Arial" w:eastAsiaTheme="minorHAnsi" w:hAnsi="Arial" w:cs="Arial"/>
          <w:color w:val="auto"/>
          <w:sz w:val="20"/>
          <w:lang w:eastAsia="en-US"/>
        </w:rPr>
        <w:t xml:space="preserve">Le déchargement et </w:t>
      </w:r>
      <w:r w:rsidR="008D43AB" w:rsidRPr="008D43AB">
        <w:rPr>
          <w:rFonts w:ascii="Arial" w:eastAsiaTheme="minorHAnsi" w:hAnsi="Arial" w:cs="Arial"/>
          <w:color w:val="auto"/>
          <w:sz w:val="20"/>
          <w:lang w:eastAsia="en-US"/>
        </w:rPr>
        <w:t>l’installation</w:t>
      </w:r>
      <w:r w:rsidRPr="008D43AB">
        <w:rPr>
          <w:rFonts w:ascii="Arial" w:eastAsiaTheme="minorHAnsi" w:hAnsi="Arial" w:cs="Arial"/>
          <w:color w:val="auto"/>
          <w:sz w:val="20"/>
          <w:lang w:eastAsia="en-US"/>
        </w:rPr>
        <w:t xml:space="preserve"> de </w:t>
      </w:r>
      <w:r w:rsidR="003F2569">
        <w:rPr>
          <w:rFonts w:ascii="Arial" w:eastAsiaTheme="minorHAnsi" w:hAnsi="Arial" w:cs="Arial"/>
          <w:color w:val="auto"/>
          <w:sz w:val="20"/>
          <w:lang w:eastAsia="en-US"/>
        </w:rPr>
        <w:t>l’équipement</w:t>
      </w:r>
    </w:p>
    <w:p w:rsidR="00327FF7" w:rsidRPr="008D43AB" w:rsidRDefault="00327FF7" w:rsidP="00327FF7">
      <w:pPr>
        <w:numPr>
          <w:ilvl w:val="0"/>
          <w:numId w:val="10"/>
        </w:numPr>
        <w:spacing w:after="0" w:line="240" w:lineRule="auto"/>
        <w:ind w:left="709" w:right="0"/>
        <w:contextualSpacing/>
        <w:rPr>
          <w:rFonts w:ascii="Arial" w:eastAsiaTheme="minorHAnsi" w:hAnsi="Arial" w:cs="Arial"/>
          <w:color w:val="auto"/>
          <w:sz w:val="20"/>
          <w:lang w:eastAsia="en-US"/>
        </w:rPr>
      </w:pPr>
      <w:r w:rsidRPr="008D43AB">
        <w:rPr>
          <w:rFonts w:ascii="Arial" w:eastAsiaTheme="minorHAnsi" w:hAnsi="Arial" w:cs="Arial"/>
          <w:color w:val="auto"/>
          <w:sz w:val="20"/>
          <w:lang w:eastAsia="en-US"/>
        </w:rPr>
        <w:t xml:space="preserve">Le décaissage et </w:t>
      </w:r>
      <w:r w:rsidR="008D43AB">
        <w:rPr>
          <w:rFonts w:ascii="Arial" w:eastAsiaTheme="minorHAnsi" w:hAnsi="Arial" w:cs="Arial"/>
          <w:color w:val="auto"/>
          <w:sz w:val="20"/>
          <w:lang w:eastAsia="en-US"/>
        </w:rPr>
        <w:t>l’</w:t>
      </w:r>
      <w:r w:rsidRPr="008D43AB">
        <w:rPr>
          <w:rFonts w:ascii="Arial" w:eastAsiaTheme="minorHAnsi" w:hAnsi="Arial" w:cs="Arial"/>
          <w:color w:val="auto"/>
          <w:sz w:val="20"/>
          <w:lang w:eastAsia="en-US"/>
        </w:rPr>
        <w:t>enlèvement des emballages</w:t>
      </w:r>
    </w:p>
    <w:p w:rsidR="008D43AB" w:rsidRDefault="00327FF7" w:rsidP="00327FF7">
      <w:pPr>
        <w:numPr>
          <w:ilvl w:val="0"/>
          <w:numId w:val="10"/>
        </w:numPr>
        <w:spacing w:after="0" w:line="240" w:lineRule="auto"/>
        <w:ind w:left="709" w:right="0"/>
        <w:contextualSpacing/>
        <w:rPr>
          <w:rFonts w:ascii="Arial" w:eastAsiaTheme="minorHAnsi" w:hAnsi="Arial" w:cs="Arial"/>
          <w:color w:val="auto"/>
          <w:sz w:val="20"/>
          <w:lang w:eastAsia="en-US"/>
        </w:rPr>
      </w:pPr>
      <w:r w:rsidRPr="008D43AB">
        <w:rPr>
          <w:rFonts w:ascii="Arial" w:eastAsiaTheme="minorHAnsi" w:hAnsi="Arial" w:cs="Arial"/>
          <w:color w:val="auto"/>
          <w:sz w:val="20"/>
          <w:lang w:eastAsia="en-US"/>
        </w:rPr>
        <w:t>La mise en service</w:t>
      </w:r>
      <w:r w:rsidR="008D43AB" w:rsidRPr="008D43AB">
        <w:rPr>
          <w:rFonts w:ascii="Arial" w:eastAsiaTheme="minorHAnsi" w:hAnsi="Arial" w:cs="Arial"/>
          <w:color w:val="auto"/>
          <w:sz w:val="20"/>
          <w:lang w:eastAsia="en-US"/>
        </w:rPr>
        <w:t xml:space="preserve"> </w:t>
      </w:r>
      <w:r w:rsidR="008D43AB">
        <w:t xml:space="preserve">ainsi que le raccordement au réseau actuel </w:t>
      </w:r>
      <w:r w:rsidR="00B75A35">
        <w:t xml:space="preserve">et </w:t>
      </w:r>
      <w:r w:rsidR="00B75A35">
        <w:rPr>
          <w:rFonts w:ascii="Arial" w:eastAsiaTheme="minorHAnsi" w:hAnsi="Arial" w:cs="Arial"/>
          <w:color w:val="auto"/>
          <w:sz w:val="20"/>
          <w:lang w:eastAsia="en-US"/>
        </w:rPr>
        <w:t>t</w:t>
      </w:r>
      <w:r w:rsidR="00B75A35" w:rsidRPr="008D43AB">
        <w:rPr>
          <w:rFonts w:ascii="Arial" w:eastAsiaTheme="minorHAnsi" w:hAnsi="Arial" w:cs="Arial"/>
          <w:color w:val="auto"/>
          <w:sz w:val="20"/>
          <w:lang w:eastAsia="en-US"/>
        </w:rPr>
        <w:t>ous les consommables nécessaires à la mise en service</w:t>
      </w:r>
      <w:r w:rsidR="00B75A35">
        <w:rPr>
          <w:rFonts w:ascii="Arial" w:eastAsiaTheme="minorHAnsi" w:hAnsi="Arial" w:cs="Arial"/>
          <w:color w:val="auto"/>
          <w:sz w:val="20"/>
          <w:lang w:eastAsia="en-US"/>
        </w:rPr>
        <w:t>,</w:t>
      </w:r>
      <w:r w:rsidR="00B75A35" w:rsidRPr="008D43AB">
        <w:rPr>
          <w:rFonts w:ascii="Arial" w:eastAsiaTheme="minorHAnsi" w:hAnsi="Arial" w:cs="Arial"/>
          <w:color w:val="auto"/>
          <w:sz w:val="20"/>
          <w:lang w:eastAsia="en-US"/>
        </w:rPr>
        <w:t xml:space="preserve"> seront prévus par le</w:t>
      </w:r>
      <w:r w:rsidR="00B75A35">
        <w:t xml:space="preserve"> </w:t>
      </w:r>
      <w:r w:rsidR="008D43AB">
        <w:t>prestataire</w:t>
      </w:r>
      <w:r w:rsidR="00B75A35">
        <w:t>;</w:t>
      </w:r>
      <w:r w:rsidR="008D43AB" w:rsidRPr="008D43AB">
        <w:rPr>
          <w:rFonts w:ascii="Arial" w:eastAsiaTheme="minorHAnsi" w:hAnsi="Arial" w:cs="Arial"/>
          <w:color w:val="auto"/>
          <w:sz w:val="20"/>
          <w:lang w:eastAsia="en-US"/>
        </w:rPr>
        <w:t xml:space="preserve"> </w:t>
      </w:r>
      <w:r w:rsidR="00B75A35">
        <w:rPr>
          <w:rFonts w:ascii="Arial" w:eastAsiaTheme="minorHAnsi" w:hAnsi="Arial" w:cs="Arial"/>
          <w:color w:val="auto"/>
          <w:sz w:val="20"/>
          <w:lang w:eastAsia="en-US"/>
        </w:rPr>
        <w:t xml:space="preserve">l’intervention </w:t>
      </w:r>
      <w:r w:rsidR="003F2569">
        <w:rPr>
          <w:rFonts w:ascii="Arial" w:eastAsiaTheme="minorHAnsi" w:hAnsi="Arial" w:cs="Arial"/>
          <w:color w:val="auto"/>
          <w:sz w:val="20"/>
          <w:lang w:eastAsia="en-US"/>
        </w:rPr>
        <w:t>devr</w:t>
      </w:r>
      <w:r w:rsidR="00B75A35">
        <w:rPr>
          <w:rFonts w:ascii="Arial" w:eastAsiaTheme="minorHAnsi" w:hAnsi="Arial" w:cs="Arial"/>
          <w:color w:val="auto"/>
          <w:sz w:val="20"/>
          <w:lang w:eastAsia="en-US"/>
        </w:rPr>
        <w:t>a</w:t>
      </w:r>
      <w:r w:rsidR="003F2569">
        <w:rPr>
          <w:rFonts w:ascii="Arial" w:eastAsiaTheme="minorHAnsi" w:hAnsi="Arial" w:cs="Arial"/>
          <w:color w:val="auto"/>
          <w:sz w:val="20"/>
          <w:lang w:eastAsia="en-US"/>
        </w:rPr>
        <w:t xml:space="preserve"> </w:t>
      </w:r>
      <w:r w:rsidR="00B75A35">
        <w:rPr>
          <w:rFonts w:ascii="Arial" w:eastAsiaTheme="minorHAnsi" w:hAnsi="Arial" w:cs="Arial"/>
          <w:color w:val="auto"/>
          <w:sz w:val="20"/>
          <w:lang w:eastAsia="en-US"/>
        </w:rPr>
        <w:t>être effectuée</w:t>
      </w:r>
      <w:r w:rsidRPr="008D43AB">
        <w:rPr>
          <w:rFonts w:ascii="Arial" w:eastAsiaTheme="minorHAnsi" w:hAnsi="Arial" w:cs="Arial"/>
          <w:color w:val="auto"/>
          <w:sz w:val="20"/>
          <w:lang w:eastAsia="en-US"/>
        </w:rPr>
        <w:t xml:space="preserve"> au plus tard deux semaines après la livraison </w:t>
      </w:r>
      <w:r w:rsidR="00B75A35">
        <w:rPr>
          <w:rFonts w:ascii="Arial" w:eastAsiaTheme="minorHAnsi" w:hAnsi="Arial" w:cs="Arial"/>
          <w:color w:val="auto"/>
          <w:sz w:val="20"/>
          <w:lang w:eastAsia="en-US"/>
        </w:rPr>
        <w:t>du compresseur</w:t>
      </w:r>
      <w:r w:rsidR="003F2569">
        <w:rPr>
          <w:rFonts w:ascii="Arial" w:eastAsiaTheme="minorHAnsi" w:hAnsi="Arial" w:cs="Arial"/>
          <w:color w:val="auto"/>
          <w:sz w:val="20"/>
          <w:lang w:eastAsia="en-US"/>
        </w:rPr>
        <w:t>.</w:t>
      </w:r>
    </w:p>
    <w:p w:rsidR="00C53045" w:rsidRDefault="00C53045" w:rsidP="00327FF7">
      <w:pPr>
        <w:numPr>
          <w:ilvl w:val="0"/>
          <w:numId w:val="10"/>
        </w:numPr>
        <w:spacing w:after="0" w:line="240" w:lineRule="auto"/>
        <w:ind w:left="709" w:right="0"/>
        <w:contextualSpacing/>
        <w:rPr>
          <w:rFonts w:ascii="Arial" w:eastAsiaTheme="minorHAnsi" w:hAnsi="Arial" w:cs="Arial"/>
          <w:color w:val="auto"/>
          <w:sz w:val="20"/>
          <w:lang w:eastAsia="en-US"/>
        </w:rPr>
      </w:pPr>
      <w:r>
        <w:rPr>
          <w:rFonts w:ascii="Arial" w:eastAsiaTheme="minorHAnsi" w:hAnsi="Arial" w:cs="Arial"/>
          <w:color w:val="auto"/>
          <w:sz w:val="20"/>
          <w:lang w:eastAsia="en-US"/>
        </w:rPr>
        <w:t>La formation des utilisateurs à la conduite de la machine et de son interface</w:t>
      </w:r>
    </w:p>
    <w:p w:rsidR="008D43AB" w:rsidRDefault="008D43AB" w:rsidP="008D43AB">
      <w:pPr>
        <w:spacing w:after="0" w:line="240" w:lineRule="auto"/>
        <w:ind w:right="0"/>
        <w:contextualSpacing/>
        <w:rPr>
          <w:rFonts w:ascii="Arial" w:eastAsiaTheme="minorHAnsi" w:hAnsi="Arial" w:cs="Arial"/>
          <w:color w:val="auto"/>
          <w:sz w:val="20"/>
          <w:lang w:eastAsia="en-US"/>
        </w:rPr>
      </w:pPr>
    </w:p>
    <w:p w:rsidR="008D43AB" w:rsidRPr="00327FF7" w:rsidRDefault="008D43AB" w:rsidP="008D43AB">
      <w:pPr>
        <w:spacing w:after="120"/>
        <w:ind w:left="0" w:firstLine="0"/>
        <w:rPr>
          <w:b/>
          <w:u w:val="single"/>
        </w:rPr>
      </w:pPr>
      <w:r w:rsidRPr="00327FF7">
        <w:rPr>
          <w:b/>
          <w:u w:val="single"/>
        </w:rPr>
        <w:t>Documentation</w:t>
      </w:r>
    </w:p>
    <w:p w:rsidR="008D43AB" w:rsidRPr="00327FF7" w:rsidRDefault="003F2569" w:rsidP="008D43AB">
      <w:pPr>
        <w:spacing w:after="0" w:line="240" w:lineRule="auto"/>
        <w:ind w:left="0" w:right="0" w:firstLine="0"/>
        <w:rPr>
          <w:rFonts w:ascii="Arial" w:eastAsiaTheme="minorHAnsi" w:hAnsi="Arial" w:cs="Arial"/>
          <w:color w:val="auto"/>
          <w:sz w:val="20"/>
          <w:lang w:eastAsia="en-US"/>
        </w:rPr>
      </w:pPr>
      <w:r w:rsidRPr="003B4A1A">
        <w:rPr>
          <w:lang w:val="x-none"/>
        </w:rPr>
        <w:t>Lors de la livraison de l’équipement, la société attributaire reme</w:t>
      </w:r>
      <w:r>
        <w:t>t</w:t>
      </w:r>
      <w:r w:rsidRPr="003B4A1A">
        <w:rPr>
          <w:lang w:val="x-none"/>
        </w:rPr>
        <w:t>t</w:t>
      </w:r>
      <w:r>
        <w:t>ra</w:t>
      </w:r>
      <w:r w:rsidRPr="003B4A1A">
        <w:rPr>
          <w:lang w:val="x-none"/>
        </w:rPr>
        <w:t xml:space="preserve"> à l’établissement </w:t>
      </w:r>
      <w:r w:rsidRPr="00327FF7">
        <w:rPr>
          <w:rFonts w:ascii="Arial" w:eastAsiaTheme="minorHAnsi" w:hAnsi="Arial" w:cs="Arial"/>
          <w:color w:val="auto"/>
          <w:sz w:val="20"/>
          <w:lang w:eastAsia="en-US"/>
        </w:rPr>
        <w:t xml:space="preserve"> </w:t>
      </w:r>
      <w:r>
        <w:rPr>
          <w:rFonts w:ascii="Arial" w:eastAsiaTheme="minorHAnsi" w:hAnsi="Arial" w:cs="Arial"/>
          <w:color w:val="auto"/>
          <w:sz w:val="20"/>
          <w:lang w:eastAsia="en-US"/>
        </w:rPr>
        <w:t>l</w:t>
      </w:r>
      <w:r w:rsidR="008D43AB" w:rsidRPr="00327FF7">
        <w:rPr>
          <w:rFonts w:ascii="Arial" w:eastAsiaTheme="minorHAnsi" w:hAnsi="Arial" w:cs="Arial"/>
          <w:color w:val="auto"/>
          <w:sz w:val="20"/>
          <w:lang w:eastAsia="en-US"/>
        </w:rPr>
        <w:t xml:space="preserve">a documentation </w:t>
      </w:r>
      <w:r w:rsidR="008D43AB" w:rsidRPr="003B4A1A">
        <w:rPr>
          <w:lang w:val="x-none"/>
        </w:rPr>
        <w:t xml:space="preserve">rédigée en français </w:t>
      </w:r>
      <w:r w:rsidR="008D43AB">
        <w:t>sur</w:t>
      </w:r>
      <w:r w:rsidR="008D43AB" w:rsidRPr="003B4A1A">
        <w:rPr>
          <w:lang w:val="x-none"/>
        </w:rPr>
        <w:t xml:space="preserve"> support</w:t>
      </w:r>
      <w:r w:rsidR="00E271B5">
        <w:t>s</w:t>
      </w:r>
      <w:r w:rsidR="008D43AB" w:rsidRPr="003B4A1A">
        <w:rPr>
          <w:lang w:val="x-none"/>
        </w:rPr>
        <w:t xml:space="preserve"> numérique et papier</w:t>
      </w:r>
      <w:r w:rsidR="008D43AB">
        <w:rPr>
          <w:rFonts w:ascii="Arial" w:eastAsiaTheme="minorHAnsi" w:hAnsi="Arial" w:cs="Arial"/>
          <w:color w:val="auto"/>
          <w:sz w:val="20"/>
          <w:lang w:eastAsia="en-US"/>
        </w:rPr>
        <w:t>. Elle comprendra</w:t>
      </w:r>
      <w:r>
        <w:rPr>
          <w:rFonts w:ascii="Arial" w:eastAsiaTheme="minorHAnsi" w:hAnsi="Arial" w:cs="Arial"/>
          <w:color w:val="auto"/>
          <w:sz w:val="20"/>
          <w:lang w:eastAsia="en-US"/>
        </w:rPr>
        <w:t> :</w:t>
      </w:r>
    </w:p>
    <w:p w:rsidR="003F2569" w:rsidRDefault="003F2569" w:rsidP="00B75A35">
      <w:pPr>
        <w:numPr>
          <w:ilvl w:val="0"/>
          <w:numId w:val="10"/>
        </w:numPr>
        <w:spacing w:after="0" w:line="259" w:lineRule="auto"/>
        <w:ind w:left="709" w:right="0"/>
        <w:contextualSpacing/>
        <w:jc w:val="left"/>
        <w:rPr>
          <w:lang w:val="x-none"/>
        </w:rPr>
      </w:pPr>
      <w:r>
        <w:rPr>
          <w:rFonts w:ascii="Arial" w:eastAsiaTheme="minorHAnsi" w:hAnsi="Arial" w:cs="Arial"/>
          <w:color w:val="auto"/>
          <w:sz w:val="20"/>
          <w:lang w:eastAsia="en-US"/>
        </w:rPr>
        <w:t>La n</w:t>
      </w:r>
      <w:r w:rsidR="008D43AB" w:rsidRPr="003F2569">
        <w:rPr>
          <w:rFonts w:ascii="Arial" w:eastAsiaTheme="minorHAnsi" w:hAnsi="Arial" w:cs="Arial"/>
          <w:color w:val="auto"/>
          <w:sz w:val="20"/>
          <w:lang w:eastAsia="en-US"/>
        </w:rPr>
        <w:t>otice</w:t>
      </w:r>
      <w:r>
        <w:rPr>
          <w:rFonts w:ascii="Arial" w:eastAsiaTheme="minorHAnsi" w:hAnsi="Arial" w:cs="Arial"/>
          <w:color w:val="auto"/>
          <w:sz w:val="20"/>
          <w:lang w:eastAsia="en-US"/>
        </w:rPr>
        <w:t xml:space="preserve"> </w:t>
      </w:r>
      <w:r w:rsidRPr="003F2569">
        <w:rPr>
          <w:lang w:val="x-none"/>
        </w:rPr>
        <w:t xml:space="preserve">technique </w:t>
      </w:r>
      <w:r>
        <w:t xml:space="preserve">intégrale </w:t>
      </w:r>
      <w:r w:rsidRPr="003F2569">
        <w:rPr>
          <w:lang w:val="x-none"/>
        </w:rPr>
        <w:t>relative à la conduite</w:t>
      </w:r>
      <w:r>
        <w:t xml:space="preserve"> et</w:t>
      </w:r>
      <w:r w:rsidRPr="003F2569">
        <w:rPr>
          <w:lang w:val="x-none"/>
        </w:rPr>
        <w:t xml:space="preserve"> l’entretien courant </w:t>
      </w:r>
      <w:r w:rsidR="00C53045">
        <w:t xml:space="preserve">du </w:t>
      </w:r>
      <w:r w:rsidR="00A34DC6">
        <w:t>système</w:t>
      </w:r>
    </w:p>
    <w:p w:rsidR="003F2569" w:rsidRPr="003F2569" w:rsidRDefault="003F2569" w:rsidP="00B75A35">
      <w:pPr>
        <w:numPr>
          <w:ilvl w:val="0"/>
          <w:numId w:val="10"/>
        </w:numPr>
        <w:spacing w:after="0" w:line="259" w:lineRule="auto"/>
        <w:ind w:left="709" w:right="0"/>
        <w:contextualSpacing/>
        <w:jc w:val="left"/>
        <w:rPr>
          <w:lang w:val="x-none"/>
        </w:rPr>
      </w:pPr>
      <w:r w:rsidRPr="003F2569">
        <w:rPr>
          <w:u w:val="single"/>
          <w:lang w:val="x-none"/>
        </w:rPr>
        <w:t>le livret de suivi d’entretien et de contrôle</w:t>
      </w:r>
    </w:p>
    <w:p w:rsidR="008D43AB" w:rsidRDefault="008D43AB" w:rsidP="008D43AB">
      <w:pPr>
        <w:spacing w:after="0" w:line="240" w:lineRule="auto"/>
        <w:ind w:right="0"/>
        <w:contextualSpacing/>
        <w:rPr>
          <w:rFonts w:ascii="Arial" w:eastAsiaTheme="minorHAnsi" w:hAnsi="Arial" w:cs="Arial"/>
          <w:color w:val="auto"/>
          <w:sz w:val="20"/>
          <w:lang w:eastAsia="en-US"/>
        </w:rPr>
      </w:pPr>
    </w:p>
    <w:p w:rsidR="00327FF7" w:rsidRPr="00327FF7" w:rsidRDefault="00327FF7" w:rsidP="00327FF7">
      <w:pPr>
        <w:spacing w:after="120"/>
        <w:ind w:left="0" w:firstLine="0"/>
        <w:rPr>
          <w:b/>
          <w:u w:val="single"/>
        </w:rPr>
      </w:pPr>
      <w:r w:rsidRPr="00327FF7">
        <w:rPr>
          <w:b/>
          <w:u w:val="single"/>
        </w:rPr>
        <w:t>Garantie</w:t>
      </w:r>
    </w:p>
    <w:p w:rsidR="00327FF7" w:rsidRDefault="00327FF7" w:rsidP="00327FF7">
      <w:pPr>
        <w:spacing w:after="0" w:line="240" w:lineRule="auto"/>
        <w:ind w:left="0" w:right="0" w:firstLine="0"/>
        <w:rPr>
          <w:rFonts w:ascii="Arial" w:eastAsiaTheme="minorHAnsi" w:hAnsi="Arial" w:cs="Arial"/>
          <w:color w:val="auto"/>
          <w:sz w:val="20"/>
          <w:lang w:eastAsia="en-US"/>
        </w:rPr>
      </w:pPr>
      <w:r w:rsidRPr="00327FF7">
        <w:rPr>
          <w:rFonts w:ascii="Arial" w:eastAsiaTheme="minorHAnsi" w:hAnsi="Arial" w:cs="Arial"/>
          <w:color w:val="auto"/>
          <w:sz w:val="20"/>
          <w:lang w:eastAsia="en-US"/>
        </w:rPr>
        <w:t>Le fournisseur assurera une garantie totale pièces et main d’œuvre et déplacement de 1 an minimum.</w:t>
      </w:r>
    </w:p>
    <w:p w:rsidR="00327FF7" w:rsidRDefault="00327FF7" w:rsidP="00327FF7">
      <w:pPr>
        <w:spacing w:after="0" w:line="240" w:lineRule="auto"/>
        <w:ind w:left="0" w:right="0" w:firstLine="0"/>
        <w:rPr>
          <w:rFonts w:ascii="Arial" w:eastAsiaTheme="minorHAnsi" w:hAnsi="Arial" w:cs="Arial"/>
          <w:color w:val="auto"/>
          <w:sz w:val="20"/>
          <w:lang w:eastAsia="en-US"/>
        </w:rPr>
      </w:pPr>
    </w:p>
    <w:p w:rsidR="00327FF7" w:rsidRPr="00327FF7" w:rsidRDefault="00327FF7" w:rsidP="00327FF7">
      <w:pPr>
        <w:spacing w:after="0" w:line="240" w:lineRule="auto"/>
        <w:ind w:left="0" w:right="0" w:firstLine="0"/>
        <w:rPr>
          <w:rFonts w:ascii="Arial" w:eastAsiaTheme="minorHAnsi" w:hAnsi="Arial" w:cs="Arial"/>
          <w:color w:val="auto"/>
          <w:sz w:val="20"/>
          <w:lang w:eastAsia="en-US"/>
        </w:rPr>
      </w:pPr>
    </w:p>
    <w:p w:rsidR="00327FF7" w:rsidRPr="00327FF7" w:rsidRDefault="00327FF7" w:rsidP="00327FF7">
      <w:pPr>
        <w:spacing w:after="120"/>
        <w:ind w:left="0" w:firstLine="0"/>
        <w:rPr>
          <w:b/>
          <w:u w:val="single"/>
        </w:rPr>
      </w:pPr>
      <w:r w:rsidRPr="00327FF7">
        <w:rPr>
          <w:b/>
          <w:u w:val="single"/>
        </w:rPr>
        <w:t>Conformité du matériel</w:t>
      </w:r>
    </w:p>
    <w:p w:rsidR="00327FF7" w:rsidRPr="00327FF7" w:rsidRDefault="00327FF7" w:rsidP="00327FF7">
      <w:pPr>
        <w:spacing w:after="0" w:line="240" w:lineRule="auto"/>
        <w:ind w:left="0" w:right="0" w:firstLine="0"/>
        <w:rPr>
          <w:rFonts w:ascii="Arial" w:eastAsiaTheme="minorHAnsi" w:hAnsi="Arial" w:cs="Arial"/>
          <w:color w:val="auto"/>
          <w:sz w:val="20"/>
          <w:lang w:eastAsia="en-US"/>
        </w:rPr>
      </w:pPr>
      <w:r w:rsidRPr="00327FF7">
        <w:rPr>
          <w:rFonts w:ascii="Arial" w:eastAsiaTheme="minorHAnsi" w:hAnsi="Arial" w:cs="Arial"/>
          <w:color w:val="auto"/>
          <w:sz w:val="20"/>
          <w:lang w:eastAsia="en-US"/>
        </w:rPr>
        <w:t>La machine devra être conforme aux directives européennes CE. Tous les certificats de conformité nécessaires seront fournis à la réception de la machine au lycée.</w:t>
      </w:r>
    </w:p>
    <w:p w:rsidR="00327FF7" w:rsidRPr="00327FF7" w:rsidRDefault="00327FF7" w:rsidP="00327FF7">
      <w:pPr>
        <w:spacing w:after="0" w:line="240" w:lineRule="auto"/>
        <w:ind w:right="0"/>
        <w:contextualSpacing/>
        <w:rPr>
          <w:rFonts w:ascii="Arial" w:eastAsiaTheme="minorHAnsi" w:hAnsi="Arial" w:cs="Arial"/>
          <w:color w:val="auto"/>
          <w:sz w:val="20"/>
          <w:lang w:eastAsia="en-US"/>
        </w:rPr>
      </w:pPr>
    </w:p>
    <w:p w:rsidR="00473C29" w:rsidRDefault="00473C29" w:rsidP="00002877">
      <w:pPr>
        <w:ind w:left="0" w:firstLine="0"/>
      </w:pPr>
    </w:p>
    <w:p w:rsidR="002A75F5" w:rsidRDefault="00224E6B">
      <w:pPr>
        <w:pStyle w:val="Titre1"/>
        <w:spacing w:after="164"/>
        <w:ind w:left="-5"/>
      </w:pPr>
      <w:r>
        <w:rPr>
          <w:u w:val="none"/>
        </w:rPr>
        <w:t xml:space="preserve">ARTICLE 4 – </w:t>
      </w:r>
      <w:r w:rsidRPr="002D09F2">
        <w:t xml:space="preserve">DÉLAI </w:t>
      </w:r>
      <w:r>
        <w:t>DE VALIDITÉ DES OFFRES</w:t>
      </w:r>
    </w:p>
    <w:p w:rsidR="002A75F5" w:rsidRDefault="00224E6B">
      <w:pPr>
        <w:spacing w:after="261"/>
        <w:ind w:left="-5" w:right="11"/>
      </w:pPr>
      <w:r>
        <w:t>Le délai de validité des offres est fixé à 40 jours (quarante jours) à compter de la date limite de réception des offres.</w:t>
      </w:r>
    </w:p>
    <w:p w:rsidR="002A75F5" w:rsidRDefault="00224E6B">
      <w:pPr>
        <w:pStyle w:val="Titre1"/>
        <w:ind w:left="-5"/>
      </w:pPr>
      <w:r>
        <w:rPr>
          <w:u w:val="none"/>
        </w:rPr>
        <w:t xml:space="preserve">ARTICLE 5 – </w:t>
      </w:r>
      <w:r>
        <w:t>CONTENU ET MODALITÉS DE RETRAIT DU DCE</w:t>
      </w:r>
    </w:p>
    <w:p w:rsidR="002A75F5" w:rsidRDefault="00224E6B">
      <w:pPr>
        <w:spacing w:after="248" w:line="259" w:lineRule="auto"/>
        <w:ind w:left="-5" w:right="0"/>
        <w:jc w:val="left"/>
      </w:pPr>
      <w:r>
        <w:rPr>
          <w:b/>
          <w:u w:val="single" w:color="000000"/>
        </w:rPr>
        <w:t>Le dossier de consultation comprend les pièces suivantes :</w:t>
      </w:r>
    </w:p>
    <w:p w:rsidR="002A75F5" w:rsidRDefault="00224E6B">
      <w:pPr>
        <w:numPr>
          <w:ilvl w:val="0"/>
          <w:numId w:val="1"/>
        </w:numPr>
        <w:ind w:right="11" w:hanging="217"/>
      </w:pPr>
      <w:r>
        <w:t>- Le règlement de Consultation (RC)</w:t>
      </w:r>
    </w:p>
    <w:p w:rsidR="002A75F5" w:rsidRDefault="00224E6B">
      <w:pPr>
        <w:numPr>
          <w:ilvl w:val="0"/>
          <w:numId w:val="1"/>
        </w:numPr>
        <w:ind w:right="11" w:hanging="217"/>
      </w:pPr>
      <w:r>
        <w:t>- L’Acte d'Engagement (ATTRI1) et la décomposition du prix global et forfaitaire</w:t>
      </w:r>
    </w:p>
    <w:p w:rsidR="002A75F5" w:rsidRDefault="00224E6B">
      <w:pPr>
        <w:numPr>
          <w:ilvl w:val="0"/>
          <w:numId w:val="1"/>
        </w:numPr>
        <w:ind w:right="11" w:hanging="217"/>
      </w:pPr>
      <w:r>
        <w:t>- Le cahier des clauses particulières (CCP)</w:t>
      </w:r>
    </w:p>
    <w:p w:rsidR="002A75F5" w:rsidRDefault="00224E6B">
      <w:pPr>
        <w:numPr>
          <w:ilvl w:val="0"/>
          <w:numId w:val="1"/>
        </w:numPr>
        <w:ind w:right="11" w:hanging="217"/>
      </w:pPr>
      <w:r>
        <w:t>- La déclaration DC 2</w:t>
      </w:r>
    </w:p>
    <w:p w:rsidR="002A75F5" w:rsidRDefault="00224E6B">
      <w:pPr>
        <w:numPr>
          <w:ilvl w:val="0"/>
          <w:numId w:val="1"/>
        </w:numPr>
        <w:ind w:right="11" w:hanging="217"/>
      </w:pPr>
      <w:r>
        <w:t>- La lettre de candidature DC1</w:t>
      </w:r>
    </w:p>
    <w:p w:rsidR="002A75F5" w:rsidRDefault="00224E6B">
      <w:pPr>
        <w:spacing w:after="287"/>
        <w:ind w:left="-5" w:right="1484"/>
      </w:pPr>
      <w:r>
        <w:t>Le dossier de consultation peut être retiré gratuitement par voi</w:t>
      </w:r>
      <w:r w:rsidR="000852E2">
        <w:t>e électronique sur le site</w:t>
      </w:r>
      <w:r w:rsidR="00414769">
        <w:t xml:space="preserve"> </w:t>
      </w:r>
      <w:r w:rsidR="000852E2">
        <w:t>: www.aji-france.com</w:t>
      </w:r>
    </w:p>
    <w:p w:rsidR="002A75F5" w:rsidRDefault="00224E6B">
      <w:pPr>
        <w:pStyle w:val="Titre1"/>
        <w:ind w:left="-5"/>
      </w:pPr>
      <w:r>
        <w:rPr>
          <w:u w:val="none"/>
        </w:rPr>
        <w:t xml:space="preserve">ARTICLE 6 – </w:t>
      </w:r>
      <w:r>
        <w:t>PRÉSENTATION DES OFFRES</w:t>
      </w:r>
    </w:p>
    <w:p w:rsidR="002A75F5" w:rsidRDefault="00224E6B">
      <w:pPr>
        <w:spacing w:after="0" w:line="259" w:lineRule="auto"/>
        <w:ind w:left="-5" w:right="0"/>
        <w:jc w:val="left"/>
      </w:pPr>
      <w:r>
        <w:rPr>
          <w:b/>
        </w:rPr>
        <w:t>Les offres seront entièrement rédigées ou traduites en langue française et exprimées en EURO.</w:t>
      </w:r>
    </w:p>
    <w:p w:rsidR="002A75F5" w:rsidRDefault="00224E6B">
      <w:pPr>
        <w:spacing w:after="187"/>
        <w:ind w:left="-5" w:right="11"/>
      </w:pPr>
      <w:r>
        <w:t>Chaque candidat aura à produire un dossier complet comprenant les pièces suivantes, datées et signées par lui :</w:t>
      </w:r>
    </w:p>
    <w:p w:rsidR="002A75F5" w:rsidRDefault="00224E6B">
      <w:pPr>
        <w:spacing w:after="0" w:line="259" w:lineRule="auto"/>
        <w:ind w:left="-5" w:right="0"/>
        <w:jc w:val="left"/>
      </w:pPr>
      <w:r>
        <w:rPr>
          <w:b/>
        </w:rPr>
        <w:t>Pièce de la candidature</w:t>
      </w:r>
    </w:p>
    <w:p w:rsidR="002A75F5" w:rsidRDefault="00224E6B">
      <w:pPr>
        <w:ind w:left="-5" w:right="11"/>
      </w:pPr>
      <w:r>
        <w:t>La lettre de candidature (</w:t>
      </w:r>
      <w:r>
        <w:rPr>
          <w:b/>
        </w:rPr>
        <w:t xml:space="preserve">DC1 </w:t>
      </w:r>
      <w:r>
        <w:t>ou équivalent) incluant</w:t>
      </w:r>
      <w:r w:rsidR="00414769">
        <w:t xml:space="preserve"> </w:t>
      </w:r>
      <w:r>
        <w:t>:</w:t>
      </w:r>
    </w:p>
    <w:p w:rsidR="00354790" w:rsidRDefault="00224E6B">
      <w:pPr>
        <w:ind w:left="-5" w:right="163"/>
      </w:pPr>
      <w:r>
        <w:t xml:space="preserve">-l’habilitation du mandataire par ses cotraitants en cas de groupement momentané </w:t>
      </w:r>
      <w:r w:rsidR="004F36A4">
        <w:t>d’entreprises ;</w:t>
      </w:r>
      <w:r>
        <w:t xml:space="preserve"> </w:t>
      </w:r>
    </w:p>
    <w:p w:rsidR="00354790" w:rsidRDefault="00224E6B" w:rsidP="004F36A4">
      <w:pPr>
        <w:ind w:left="-5" w:right="163"/>
      </w:pPr>
      <w:r>
        <w:t>-la déclaration sur l’honneur dûment datée et signée par le candidat pour justifier qu'il n'entre dans aucun</w:t>
      </w:r>
      <w:r w:rsidR="004F36A4">
        <w:t xml:space="preserve"> </w:t>
      </w:r>
      <w:r>
        <w:t>des cas mentionnés à l'article 45 de l'ordonnance n°2015-899 du 23 juillet 2015;</w:t>
      </w:r>
    </w:p>
    <w:p w:rsidR="002A75F5" w:rsidRDefault="00224E6B">
      <w:pPr>
        <w:ind w:left="-5" w:right="2302"/>
      </w:pPr>
      <w:r>
        <w:t>La</w:t>
      </w:r>
      <w:r w:rsidR="0081343D">
        <w:t xml:space="preserve"> d</w:t>
      </w:r>
      <w:r>
        <w:t>éclaration du candidat (</w:t>
      </w:r>
      <w:r>
        <w:rPr>
          <w:b/>
        </w:rPr>
        <w:t xml:space="preserve">DC2 </w:t>
      </w:r>
      <w:r>
        <w:t xml:space="preserve">ou équivalent) </w:t>
      </w:r>
      <w:r w:rsidR="004F36A4">
        <w:t>incluant :</w:t>
      </w:r>
    </w:p>
    <w:p w:rsidR="002A75F5" w:rsidRDefault="00224E6B">
      <w:pPr>
        <w:ind w:left="-5" w:right="11"/>
      </w:pPr>
      <w:r>
        <w:t xml:space="preserve">-les documents relatifs aux pouvoirs de la personne habilitée pour engager le </w:t>
      </w:r>
      <w:r w:rsidR="004F36A4">
        <w:t>candidat ;</w:t>
      </w:r>
    </w:p>
    <w:p w:rsidR="002A75F5" w:rsidRDefault="00224E6B">
      <w:pPr>
        <w:ind w:left="-5" w:right="11"/>
      </w:pPr>
      <w:r>
        <w:t>-le cas échéant, si l'entreprise est en redressement judiciaire, la copie du (ou des) jugement(s) prononcé(s) à cet effet ;</w:t>
      </w:r>
    </w:p>
    <w:p w:rsidR="002A75F5" w:rsidRDefault="00224E6B">
      <w:pPr>
        <w:spacing w:after="261"/>
        <w:ind w:left="-5" w:right="11"/>
      </w:pPr>
      <w:r>
        <w:t>-Les renseignements concernant la capacité économique et financière de l’entreprise tels que prévus à l'article 44 du décret n°2016-360 du 25 mars 2016 :</w:t>
      </w:r>
    </w:p>
    <w:p w:rsidR="002A75F5" w:rsidRDefault="00224E6B" w:rsidP="004F36A4">
      <w:pPr>
        <w:numPr>
          <w:ilvl w:val="0"/>
          <w:numId w:val="2"/>
        </w:numPr>
        <w:ind w:left="426" w:right="11"/>
      </w:pPr>
      <w:r>
        <w:t>Déclaration concernant le chiffre d’affaires global et le chiffre d’affaires concernant les services objet du</w:t>
      </w:r>
      <w:r w:rsidR="0013288D">
        <w:t xml:space="preserve"> </w:t>
      </w:r>
      <w:r>
        <w:t>marché, réalisés au cours des trois derniers exercices disponibles ;</w:t>
      </w:r>
    </w:p>
    <w:p w:rsidR="002A75F5" w:rsidRDefault="00224E6B" w:rsidP="004F36A4">
      <w:pPr>
        <w:pStyle w:val="Paragraphedeliste"/>
        <w:numPr>
          <w:ilvl w:val="0"/>
          <w:numId w:val="2"/>
        </w:numPr>
        <w:ind w:left="426" w:right="11"/>
      </w:pPr>
      <w:r>
        <w:t>Les renseignements concernant les capacités professionnelle et technique de l’entreprise tels que prévus à l’article 44 du décret n°2016-360 du 25 mars 2016 :</w:t>
      </w:r>
    </w:p>
    <w:p w:rsidR="002A75F5" w:rsidRDefault="00224E6B" w:rsidP="004F36A4">
      <w:pPr>
        <w:numPr>
          <w:ilvl w:val="0"/>
          <w:numId w:val="2"/>
        </w:numPr>
        <w:ind w:left="426" w:right="11"/>
      </w:pPr>
      <w:r>
        <w:lastRenderedPageBreak/>
        <w:t>Liste des principaux services effectués au cours des trois dernières années, indiquant le montant, la date</w:t>
      </w:r>
      <w:r w:rsidR="00A26303">
        <w:t xml:space="preserve"> </w:t>
      </w:r>
      <w:r>
        <w:t>et le destinataire public ou privé. Les prestations de service sont prouvées par des attestations du destinataire ou, à défaut, par une déclaration de l’opérateur économique ;</w:t>
      </w:r>
    </w:p>
    <w:p w:rsidR="00C40B40" w:rsidRDefault="00C40B40">
      <w:pPr>
        <w:spacing w:after="261"/>
        <w:ind w:left="-5" w:right="11"/>
      </w:pPr>
    </w:p>
    <w:p w:rsidR="002A75F5" w:rsidRDefault="00224E6B">
      <w:pPr>
        <w:spacing w:after="261"/>
        <w:ind w:left="-5" w:right="11"/>
      </w:pPr>
      <w:r>
        <w:t xml:space="preserve">N.B : Les formulaires de déclaration du candidat DC1 et DC2 sont librement téléchargeables sur le site du ministère de l'économie, des finances et de l'industrie : </w:t>
      </w:r>
      <w:hyperlink r:id="rId8">
        <w:r>
          <w:rPr>
            <w:color w:val="000082"/>
            <w:u w:val="single" w:color="000082"/>
          </w:rPr>
          <w:t>www.minefe.gouv.fr</w:t>
        </w:r>
      </w:hyperlink>
    </w:p>
    <w:p w:rsidR="002A75F5" w:rsidRDefault="00224E6B">
      <w:pPr>
        <w:spacing w:after="0" w:line="259" w:lineRule="auto"/>
        <w:ind w:left="-5" w:right="0"/>
        <w:jc w:val="left"/>
      </w:pPr>
      <w:r>
        <w:rPr>
          <w:b/>
        </w:rPr>
        <w:t>Pièce de l'offre</w:t>
      </w:r>
    </w:p>
    <w:p w:rsidR="002A75F5" w:rsidRDefault="00224E6B">
      <w:pPr>
        <w:ind w:left="-5" w:right="11"/>
      </w:pPr>
      <w:r>
        <w:t>Un projet de marché comprenant</w:t>
      </w:r>
      <w:r w:rsidR="00B804E9">
        <w:t xml:space="preserve"> </w:t>
      </w:r>
      <w:r>
        <w:t>:</w:t>
      </w:r>
    </w:p>
    <w:p w:rsidR="002A75F5" w:rsidRDefault="00224E6B">
      <w:pPr>
        <w:ind w:left="-5" w:right="11"/>
      </w:pPr>
      <w:r>
        <w:t xml:space="preserve">-L'acte d'engagement (ATTRI1) complété et signé avec le bordereau de </w:t>
      </w:r>
      <w:r w:rsidR="00C40B40">
        <w:t xml:space="preserve">prix unitaire </w:t>
      </w:r>
      <w:r>
        <w:t>(</w:t>
      </w:r>
      <w:r w:rsidR="00C40B40">
        <w:t>BPU</w:t>
      </w:r>
      <w:r>
        <w:t>) annexé.</w:t>
      </w:r>
    </w:p>
    <w:p w:rsidR="002A75F5" w:rsidRDefault="00224E6B">
      <w:pPr>
        <w:ind w:left="-5" w:right="11"/>
      </w:pPr>
      <w:r>
        <w:t>-Le Cahier des Clauses Particulières signé</w:t>
      </w:r>
      <w:r w:rsidR="00B804E9">
        <w:t xml:space="preserve"> </w:t>
      </w:r>
      <w:r>
        <w:t>;</w:t>
      </w:r>
    </w:p>
    <w:p w:rsidR="002A75F5" w:rsidRDefault="00224E6B">
      <w:pPr>
        <w:spacing w:after="287"/>
        <w:ind w:left="-5" w:right="11"/>
      </w:pPr>
      <w:r>
        <w:t>-Un mémoire technique comprenant</w:t>
      </w:r>
      <w:r w:rsidR="00B804E9">
        <w:t xml:space="preserve"> </w:t>
      </w:r>
      <w:r>
        <w:t>: les fiches techniques explicitant ou précisant l’offre, notamment le descriptif détaillé d</w:t>
      </w:r>
      <w:r w:rsidR="00B804E9">
        <w:t>u matériel</w:t>
      </w:r>
      <w:r>
        <w:t xml:space="preserve"> </w:t>
      </w:r>
      <w:r w:rsidR="00B220DD">
        <w:t>fourni.</w:t>
      </w:r>
    </w:p>
    <w:p w:rsidR="002A75F5" w:rsidRDefault="00224E6B">
      <w:pPr>
        <w:pStyle w:val="Titre1"/>
        <w:spacing w:after="164"/>
        <w:ind w:left="-5"/>
      </w:pPr>
      <w:r>
        <w:rPr>
          <w:u w:val="none"/>
        </w:rPr>
        <w:t xml:space="preserve">ARTICLE 7 – </w:t>
      </w:r>
      <w:r>
        <w:t>MODALITÉS ET DATE LIMITE DE REMISE DES OFFRES</w:t>
      </w:r>
    </w:p>
    <w:p w:rsidR="002A75F5" w:rsidRDefault="00224E6B">
      <w:pPr>
        <w:spacing w:after="0" w:line="259" w:lineRule="auto"/>
        <w:ind w:left="-5" w:right="0"/>
        <w:jc w:val="left"/>
      </w:pPr>
      <w:r>
        <w:rPr>
          <w:b/>
        </w:rPr>
        <w:t xml:space="preserve">Transmission </w:t>
      </w:r>
      <w:r w:rsidR="004F36A4">
        <w:rPr>
          <w:b/>
        </w:rPr>
        <w:t xml:space="preserve">uniquement </w:t>
      </w:r>
      <w:r>
        <w:rPr>
          <w:b/>
        </w:rPr>
        <w:t>sous forme électronique</w:t>
      </w:r>
      <w:r w:rsidR="004F36A4">
        <w:rPr>
          <w:b/>
        </w:rPr>
        <w:t xml:space="preserve"> sur le site de l’AJI</w:t>
      </w:r>
      <w:r w:rsidR="003D3CC0">
        <w:rPr>
          <w:b/>
        </w:rPr>
        <w:t xml:space="preserve"> </w:t>
      </w:r>
      <w:r w:rsidR="00B3410E">
        <w:rPr>
          <w:b/>
        </w:rPr>
        <w:t xml:space="preserve">à : </w:t>
      </w:r>
      <w:r w:rsidR="003D3CC0" w:rsidRPr="00B3410E">
        <w:rPr>
          <w:color w:val="000082"/>
          <w:u w:val="single" w:color="000082"/>
        </w:rPr>
        <w:t>https://mapa.aji-france.com/</w:t>
      </w:r>
    </w:p>
    <w:p w:rsidR="002A75F5" w:rsidRDefault="00224E6B">
      <w:pPr>
        <w:spacing w:after="441"/>
        <w:ind w:left="-5" w:right="11"/>
      </w:pPr>
      <w:r>
        <w:t xml:space="preserve">Les offres </w:t>
      </w:r>
      <w:r w:rsidR="00C41F65">
        <w:t>devront être déposées sur la plateforme « AJI » au plus tard</w:t>
      </w:r>
      <w:r w:rsidR="00B804E9">
        <w:t xml:space="preserve"> </w:t>
      </w:r>
      <w:r w:rsidR="00382E10">
        <w:t xml:space="preserve">le </w:t>
      </w:r>
      <w:r w:rsidR="00002877">
        <w:t>vendredi 11 février 2021</w:t>
      </w:r>
      <w:r w:rsidR="00834227">
        <w:t xml:space="preserve"> </w:t>
      </w:r>
      <w:r w:rsidR="004F36A4">
        <w:t>à 1</w:t>
      </w:r>
      <w:r w:rsidR="002D09F2">
        <w:t>8</w:t>
      </w:r>
      <w:r w:rsidR="00C41F65">
        <w:t xml:space="preserve"> h</w:t>
      </w:r>
      <w:r w:rsidR="0086758C">
        <w:t>.</w:t>
      </w:r>
    </w:p>
    <w:p w:rsidR="002A75F5" w:rsidRDefault="00224E6B">
      <w:pPr>
        <w:pStyle w:val="Titre1"/>
        <w:ind w:left="-5"/>
      </w:pPr>
      <w:r>
        <w:t xml:space="preserve"> ARTICLE 8 – MODALITÉS D’ÉCHANGES EN COURS DE PROCÉDURE DE CONSULTATION</w:t>
      </w:r>
    </w:p>
    <w:p w:rsidR="004F36A4" w:rsidRDefault="00224E6B" w:rsidP="004F36A4">
      <w:pPr>
        <w:spacing w:after="441"/>
        <w:ind w:left="-5" w:right="11"/>
      </w:pPr>
      <w:r>
        <w:t>Tous les courriers émanant du pouvoir adjudicateur, tels les éventuelles modifications ou informations complémentaires relatives au dossier de consultation des entreprises, les demandes de précisions ou compléments sur l'offre, la notification du rejet ou l'admission au présent marché seront transmis aux candidats uniquement par voie électronique.</w:t>
      </w:r>
      <w:r w:rsidR="004F36A4" w:rsidRPr="004F36A4">
        <w:t xml:space="preserve"> </w:t>
      </w:r>
    </w:p>
    <w:p w:rsidR="002A75F5" w:rsidRDefault="00224E6B">
      <w:pPr>
        <w:pStyle w:val="Titre1"/>
        <w:spacing w:after="142"/>
        <w:ind w:left="-5"/>
      </w:pPr>
      <w:r>
        <w:rPr>
          <w:u w:val="none"/>
        </w:rPr>
        <w:t xml:space="preserve">ARTICLE 9 – </w:t>
      </w:r>
      <w:r>
        <w:t>LES CONDITIONS D’ATTRIBUTION DU MARCHE</w:t>
      </w:r>
    </w:p>
    <w:p w:rsidR="002A75F5" w:rsidRDefault="00224E6B">
      <w:pPr>
        <w:spacing w:after="0" w:line="259" w:lineRule="auto"/>
        <w:ind w:left="-5" w:right="0"/>
        <w:jc w:val="left"/>
      </w:pPr>
      <w:r>
        <w:rPr>
          <w:b/>
        </w:rPr>
        <w:t xml:space="preserve">Les critères relatifs à la candidature sont : </w:t>
      </w:r>
    </w:p>
    <w:p w:rsidR="002A75F5" w:rsidRDefault="00224E6B">
      <w:pPr>
        <w:numPr>
          <w:ilvl w:val="0"/>
          <w:numId w:val="3"/>
        </w:numPr>
        <w:ind w:right="11"/>
      </w:pPr>
      <w:r>
        <w:t>Capacités financières évaluées en fonction du chiffre d'affaires global et des chiffres d'affaires concernant</w:t>
      </w:r>
      <w:r w:rsidR="0098351F">
        <w:t xml:space="preserve"> </w:t>
      </w:r>
      <w:r>
        <w:t>les services objet du marché, réalisés au cours des trois derniers exercices disponibles ;</w:t>
      </w:r>
    </w:p>
    <w:p w:rsidR="002A75F5" w:rsidRDefault="00224E6B">
      <w:pPr>
        <w:numPr>
          <w:ilvl w:val="0"/>
          <w:numId w:val="3"/>
        </w:numPr>
        <w:ind w:right="11"/>
      </w:pPr>
      <w:r>
        <w:t>Capacités professionnelles et techniques évaluées en fonction de la présentation d'une liste des</w:t>
      </w:r>
      <w:r w:rsidR="0098351F">
        <w:t xml:space="preserve"> </w:t>
      </w:r>
      <w:r>
        <w:t>principaux services réalisés au cours des trois dernières années, indiquant le montant, la date et le destinataire public ou privé.</w:t>
      </w:r>
    </w:p>
    <w:p w:rsidR="002D2BD7" w:rsidRDefault="002D2BD7" w:rsidP="002D2BD7">
      <w:pPr>
        <w:ind w:right="11"/>
      </w:pPr>
    </w:p>
    <w:p w:rsidR="002A75F5" w:rsidRDefault="00224E6B">
      <w:pPr>
        <w:spacing w:after="0" w:line="259" w:lineRule="auto"/>
        <w:ind w:left="-5" w:right="0"/>
        <w:jc w:val="left"/>
      </w:pPr>
      <w:r>
        <w:rPr>
          <w:b/>
        </w:rPr>
        <w:t xml:space="preserve">Le jugement des </w:t>
      </w:r>
      <w:r w:rsidR="00354790">
        <w:rPr>
          <w:b/>
        </w:rPr>
        <w:t>offres :</w:t>
      </w:r>
    </w:p>
    <w:p w:rsidR="002A75F5" w:rsidRDefault="00224E6B">
      <w:pPr>
        <w:ind w:left="-5" w:right="11"/>
      </w:pPr>
      <w:r>
        <w:t>L’offre économiquement la plus avantageuse sera appréciée en fonction des critères énoncés ci-dessous et pondérés de la manière suivante :</w:t>
      </w:r>
    </w:p>
    <w:p w:rsidR="00C87FFB" w:rsidRDefault="00C87FFB">
      <w:pPr>
        <w:ind w:left="-5" w:right="11"/>
      </w:pPr>
    </w:p>
    <w:tbl>
      <w:tblPr>
        <w:tblStyle w:val="TableGrid"/>
        <w:tblW w:w="9515" w:type="dxa"/>
        <w:tblInd w:w="-2" w:type="dxa"/>
        <w:tblCellMar>
          <w:top w:w="99" w:type="dxa"/>
          <w:left w:w="74" w:type="dxa"/>
          <w:right w:w="72" w:type="dxa"/>
        </w:tblCellMar>
        <w:tblLook w:val="04A0" w:firstRow="1" w:lastRow="0" w:firstColumn="1" w:lastColumn="0" w:noHBand="0" w:noVBand="1"/>
      </w:tblPr>
      <w:tblGrid>
        <w:gridCol w:w="2693"/>
        <w:gridCol w:w="1701"/>
        <w:gridCol w:w="1701"/>
        <w:gridCol w:w="1710"/>
        <w:gridCol w:w="1710"/>
      </w:tblGrid>
      <w:tr w:rsidR="00B804E9" w:rsidTr="00C87FFB">
        <w:trPr>
          <w:trHeight w:val="648"/>
        </w:trPr>
        <w:tc>
          <w:tcPr>
            <w:tcW w:w="2693" w:type="dxa"/>
            <w:tcBorders>
              <w:top w:val="single" w:sz="2" w:space="0" w:color="000000"/>
              <w:left w:val="single" w:sz="2" w:space="0" w:color="000000"/>
              <w:bottom w:val="single" w:sz="2" w:space="0" w:color="000000"/>
              <w:right w:val="single" w:sz="2" w:space="0" w:color="000000"/>
            </w:tcBorders>
            <w:vAlign w:val="center"/>
          </w:tcPr>
          <w:p w:rsidR="00B804E9" w:rsidRDefault="00C87FFB">
            <w:pPr>
              <w:spacing w:after="0" w:line="259" w:lineRule="auto"/>
              <w:ind w:left="2" w:right="0" w:firstLine="0"/>
              <w:jc w:val="center"/>
            </w:pPr>
            <w:r>
              <w:t>LOTS</w:t>
            </w:r>
          </w:p>
        </w:tc>
        <w:tc>
          <w:tcPr>
            <w:tcW w:w="1701" w:type="dxa"/>
            <w:tcBorders>
              <w:top w:val="single" w:sz="2" w:space="0" w:color="000000"/>
              <w:left w:val="single" w:sz="2" w:space="0" w:color="000000"/>
              <w:bottom w:val="single" w:sz="2" w:space="0" w:color="000000"/>
              <w:right w:val="single" w:sz="2" w:space="0" w:color="000000"/>
            </w:tcBorders>
            <w:vAlign w:val="center"/>
          </w:tcPr>
          <w:p w:rsidR="00834227" w:rsidRDefault="00B804E9" w:rsidP="00834227">
            <w:pPr>
              <w:spacing w:after="0" w:line="259" w:lineRule="auto"/>
              <w:ind w:left="67" w:right="0" w:firstLine="0"/>
              <w:jc w:val="center"/>
            </w:pPr>
            <w:r>
              <w:t xml:space="preserve">Qualité </w:t>
            </w:r>
            <w:r w:rsidR="00834227">
              <w:t>d</w:t>
            </w:r>
            <w:r w:rsidR="00002877">
              <w:t>es</w:t>
            </w:r>
            <w:r w:rsidR="00834227">
              <w:t xml:space="preserve"> produit</w:t>
            </w:r>
            <w:r w:rsidR="00002877">
              <w:t>s</w:t>
            </w:r>
          </w:p>
          <w:p w:rsidR="00C87FFB" w:rsidRDefault="00B804E9" w:rsidP="00834227">
            <w:pPr>
              <w:spacing w:after="0" w:line="259" w:lineRule="auto"/>
              <w:ind w:left="67" w:right="0" w:firstLine="0"/>
            </w:pPr>
            <w:r>
              <w:t>(note maximum</w:t>
            </w:r>
            <w:r w:rsidR="00C87FFB">
              <w:t>)</w:t>
            </w:r>
          </w:p>
          <w:p w:rsidR="00B804E9" w:rsidRDefault="00B804E9" w:rsidP="00C87FFB">
            <w:pPr>
              <w:spacing w:after="0" w:line="259" w:lineRule="auto"/>
              <w:ind w:left="0" w:right="0" w:firstLine="0"/>
            </w:pPr>
          </w:p>
        </w:tc>
        <w:tc>
          <w:tcPr>
            <w:tcW w:w="1701" w:type="dxa"/>
            <w:tcBorders>
              <w:top w:val="single" w:sz="2" w:space="0" w:color="000000"/>
              <w:left w:val="single" w:sz="2" w:space="0" w:color="000000"/>
              <w:bottom w:val="single" w:sz="2" w:space="0" w:color="000000"/>
              <w:right w:val="single" w:sz="2" w:space="0" w:color="000000"/>
            </w:tcBorders>
            <w:vAlign w:val="center"/>
          </w:tcPr>
          <w:p w:rsidR="00834227" w:rsidRDefault="00834227" w:rsidP="00834227">
            <w:pPr>
              <w:spacing w:after="0" w:line="259" w:lineRule="auto"/>
              <w:ind w:left="0" w:right="0" w:firstLine="0"/>
              <w:jc w:val="center"/>
            </w:pPr>
            <w:r>
              <w:t xml:space="preserve">Qualité des services </w:t>
            </w:r>
            <w:r w:rsidR="00B804E9">
              <w:t>après-vente</w:t>
            </w:r>
          </w:p>
          <w:p w:rsidR="00B804E9" w:rsidRDefault="00834227" w:rsidP="00834227">
            <w:pPr>
              <w:spacing w:after="0" w:line="259" w:lineRule="auto"/>
              <w:ind w:left="0" w:right="0" w:firstLine="0"/>
              <w:jc w:val="center"/>
            </w:pPr>
            <w:r>
              <w:t>(n</w:t>
            </w:r>
            <w:r w:rsidR="00B804E9">
              <w:t>ote maximum)</w:t>
            </w:r>
          </w:p>
        </w:tc>
        <w:tc>
          <w:tcPr>
            <w:tcW w:w="1710" w:type="dxa"/>
            <w:tcBorders>
              <w:top w:val="single" w:sz="2" w:space="0" w:color="000000"/>
              <w:left w:val="single" w:sz="2" w:space="0" w:color="000000"/>
              <w:bottom w:val="single" w:sz="2" w:space="0" w:color="000000"/>
              <w:right w:val="single" w:sz="2" w:space="0" w:color="000000"/>
            </w:tcBorders>
            <w:vAlign w:val="center"/>
          </w:tcPr>
          <w:p w:rsidR="00D578DC" w:rsidRDefault="00834227" w:rsidP="00834227">
            <w:pPr>
              <w:spacing w:after="0" w:line="259" w:lineRule="auto"/>
              <w:ind w:left="0" w:right="1" w:firstLine="0"/>
              <w:jc w:val="center"/>
            </w:pPr>
            <w:r>
              <w:t>Qualité</w:t>
            </w:r>
            <w:r w:rsidR="001F7EEB">
              <w:t xml:space="preserve"> des </w:t>
            </w:r>
            <w:r>
              <w:t xml:space="preserve">conditions et </w:t>
            </w:r>
            <w:r w:rsidR="001F7EEB">
              <w:t>d</w:t>
            </w:r>
            <w:r w:rsidR="00B804E9">
              <w:t>élais de livraison</w:t>
            </w:r>
          </w:p>
          <w:p w:rsidR="00B804E9" w:rsidRDefault="00834227" w:rsidP="00834227">
            <w:pPr>
              <w:spacing w:after="0" w:line="259" w:lineRule="auto"/>
              <w:ind w:left="0" w:right="1" w:firstLine="0"/>
              <w:jc w:val="center"/>
            </w:pPr>
            <w:r>
              <w:t>(</w:t>
            </w:r>
            <w:r w:rsidR="00B804E9">
              <w:t>note maximum)</w:t>
            </w:r>
          </w:p>
        </w:tc>
        <w:tc>
          <w:tcPr>
            <w:tcW w:w="1710" w:type="dxa"/>
            <w:tcBorders>
              <w:top w:val="single" w:sz="2" w:space="0" w:color="000000"/>
              <w:left w:val="single" w:sz="2" w:space="0" w:color="000000"/>
              <w:bottom w:val="single" w:sz="2" w:space="0" w:color="000000"/>
              <w:right w:val="single" w:sz="2" w:space="0" w:color="000000"/>
            </w:tcBorders>
            <w:vAlign w:val="center"/>
          </w:tcPr>
          <w:p w:rsidR="00B804E9" w:rsidRDefault="00B804E9" w:rsidP="00834227">
            <w:pPr>
              <w:spacing w:after="0" w:line="259" w:lineRule="auto"/>
              <w:ind w:left="0" w:right="1" w:firstLine="0"/>
              <w:jc w:val="center"/>
            </w:pPr>
            <w:r>
              <w:t>Prix</w:t>
            </w:r>
          </w:p>
          <w:p w:rsidR="00B804E9" w:rsidRDefault="00B804E9" w:rsidP="00834227">
            <w:pPr>
              <w:spacing w:after="0" w:line="259" w:lineRule="auto"/>
              <w:ind w:left="36" w:right="0" w:firstLine="0"/>
              <w:jc w:val="center"/>
            </w:pPr>
            <w:r>
              <w:t>(note maximum)</w:t>
            </w:r>
          </w:p>
        </w:tc>
      </w:tr>
      <w:tr w:rsidR="00B804E9" w:rsidTr="00C87FFB">
        <w:trPr>
          <w:trHeight w:val="1175"/>
        </w:trPr>
        <w:tc>
          <w:tcPr>
            <w:tcW w:w="2693" w:type="dxa"/>
            <w:tcBorders>
              <w:top w:val="single" w:sz="2" w:space="0" w:color="000000"/>
              <w:left w:val="single" w:sz="2" w:space="0" w:color="000000"/>
              <w:bottom w:val="single" w:sz="2" w:space="0" w:color="000000"/>
              <w:right w:val="single" w:sz="2" w:space="0" w:color="000000"/>
            </w:tcBorders>
            <w:vAlign w:val="center"/>
          </w:tcPr>
          <w:p w:rsidR="00B804E9" w:rsidRPr="00002877" w:rsidRDefault="00002877" w:rsidP="00002877">
            <w:pPr>
              <w:spacing w:after="120"/>
              <w:jc w:val="center"/>
              <w:rPr>
                <w:bCs/>
              </w:rPr>
            </w:pPr>
            <w:r>
              <w:rPr>
                <w:bCs/>
              </w:rPr>
              <w:t>Compresseur</w:t>
            </w:r>
          </w:p>
        </w:tc>
        <w:tc>
          <w:tcPr>
            <w:tcW w:w="1701" w:type="dxa"/>
            <w:tcBorders>
              <w:top w:val="single" w:sz="2" w:space="0" w:color="000000"/>
              <w:left w:val="single" w:sz="2" w:space="0" w:color="000000"/>
              <w:bottom w:val="single" w:sz="2" w:space="0" w:color="000000"/>
              <w:right w:val="single" w:sz="2" w:space="0" w:color="000000"/>
            </w:tcBorders>
            <w:vAlign w:val="center"/>
          </w:tcPr>
          <w:p w:rsidR="00B804E9" w:rsidRDefault="00A03B8F" w:rsidP="00834227">
            <w:pPr>
              <w:spacing w:after="0" w:line="259" w:lineRule="auto"/>
              <w:ind w:left="1" w:right="0" w:firstLine="0"/>
              <w:jc w:val="center"/>
            </w:pPr>
            <w:r>
              <w:t>10</w:t>
            </w:r>
          </w:p>
        </w:tc>
        <w:tc>
          <w:tcPr>
            <w:tcW w:w="1701" w:type="dxa"/>
            <w:tcBorders>
              <w:top w:val="single" w:sz="2" w:space="0" w:color="000000"/>
              <w:left w:val="single" w:sz="2" w:space="0" w:color="000000"/>
              <w:bottom w:val="single" w:sz="2" w:space="0" w:color="000000"/>
              <w:right w:val="single" w:sz="2" w:space="0" w:color="000000"/>
            </w:tcBorders>
            <w:vAlign w:val="center"/>
          </w:tcPr>
          <w:p w:rsidR="00B804E9" w:rsidRDefault="00A03B8F" w:rsidP="00834227">
            <w:pPr>
              <w:spacing w:after="0" w:line="259" w:lineRule="auto"/>
              <w:ind w:left="0" w:right="0" w:firstLine="0"/>
              <w:jc w:val="center"/>
            </w:pPr>
            <w:r>
              <w:t>2</w:t>
            </w:r>
          </w:p>
        </w:tc>
        <w:tc>
          <w:tcPr>
            <w:tcW w:w="1710" w:type="dxa"/>
            <w:tcBorders>
              <w:top w:val="single" w:sz="2" w:space="0" w:color="000000"/>
              <w:left w:val="single" w:sz="2" w:space="0" w:color="000000"/>
              <w:bottom w:val="single" w:sz="2" w:space="0" w:color="000000"/>
              <w:right w:val="single" w:sz="2" w:space="0" w:color="000000"/>
            </w:tcBorders>
            <w:vAlign w:val="center"/>
          </w:tcPr>
          <w:p w:rsidR="00B804E9" w:rsidRDefault="00A03B8F" w:rsidP="00834227">
            <w:pPr>
              <w:spacing w:after="0" w:line="259" w:lineRule="auto"/>
              <w:ind w:left="0" w:right="1" w:firstLine="0"/>
              <w:jc w:val="center"/>
            </w:pPr>
            <w:r>
              <w:t>2</w:t>
            </w:r>
          </w:p>
        </w:tc>
        <w:tc>
          <w:tcPr>
            <w:tcW w:w="1710" w:type="dxa"/>
            <w:tcBorders>
              <w:top w:val="single" w:sz="2" w:space="0" w:color="000000"/>
              <w:left w:val="single" w:sz="2" w:space="0" w:color="000000"/>
              <w:bottom w:val="single" w:sz="2" w:space="0" w:color="000000"/>
              <w:right w:val="single" w:sz="2" w:space="0" w:color="000000"/>
            </w:tcBorders>
            <w:vAlign w:val="center"/>
          </w:tcPr>
          <w:p w:rsidR="00B804E9" w:rsidRDefault="00A03B8F" w:rsidP="00834227">
            <w:pPr>
              <w:spacing w:after="0" w:line="259" w:lineRule="auto"/>
              <w:ind w:left="0" w:right="1" w:firstLine="0"/>
              <w:jc w:val="center"/>
            </w:pPr>
            <w:r>
              <w:t>6</w:t>
            </w:r>
          </w:p>
        </w:tc>
      </w:tr>
    </w:tbl>
    <w:p w:rsidR="00C87FFB" w:rsidRDefault="00C87FFB">
      <w:pPr>
        <w:spacing w:after="248" w:line="259" w:lineRule="auto"/>
        <w:ind w:left="0" w:right="0" w:firstLine="0"/>
        <w:jc w:val="left"/>
        <w:rPr>
          <w:u w:val="single" w:color="000000"/>
        </w:rPr>
      </w:pPr>
    </w:p>
    <w:p w:rsidR="002A75F5" w:rsidRDefault="00224E6B">
      <w:pPr>
        <w:spacing w:after="248" w:line="259" w:lineRule="auto"/>
        <w:ind w:left="0" w:right="0" w:firstLine="0"/>
        <w:jc w:val="left"/>
      </w:pPr>
      <w:r>
        <w:rPr>
          <w:u w:val="single" w:color="000000"/>
        </w:rPr>
        <w:t>Méthode de calcul appliquée à chaque critère :</w:t>
      </w:r>
    </w:p>
    <w:p w:rsidR="002A75F5" w:rsidRDefault="004F36A4" w:rsidP="004F36A4">
      <w:pPr>
        <w:numPr>
          <w:ilvl w:val="0"/>
          <w:numId w:val="4"/>
        </w:numPr>
        <w:ind w:right="11" w:hanging="232"/>
      </w:pPr>
      <w:r>
        <w:t>Coefficient</w:t>
      </w:r>
      <w:r w:rsidR="00224E6B">
        <w:t xml:space="preserve"> de notation = note maximum / nombre de réponses</w:t>
      </w:r>
    </w:p>
    <w:p w:rsidR="002A75F5" w:rsidRDefault="00224E6B" w:rsidP="004F36A4">
      <w:pPr>
        <w:numPr>
          <w:ilvl w:val="0"/>
          <w:numId w:val="4"/>
        </w:numPr>
        <w:ind w:right="11" w:hanging="232"/>
      </w:pPr>
      <w:r>
        <w:t>La meilleure offre aura la note maximum</w:t>
      </w:r>
    </w:p>
    <w:p w:rsidR="002A75F5" w:rsidRDefault="00224E6B" w:rsidP="004F36A4">
      <w:pPr>
        <w:numPr>
          <w:ilvl w:val="0"/>
          <w:numId w:val="4"/>
        </w:numPr>
        <w:spacing w:after="260"/>
        <w:ind w:right="11" w:hanging="232"/>
      </w:pPr>
      <w:r>
        <w:t>Les offres suivantes seront classées comme suit : note maximum - (rang de classement x coefficient de notation).</w:t>
      </w:r>
    </w:p>
    <w:p w:rsidR="00C87FFB" w:rsidRDefault="00224E6B" w:rsidP="004F36A4">
      <w:pPr>
        <w:ind w:left="-5" w:right="11"/>
      </w:pPr>
      <w:r>
        <w:t>-</w:t>
      </w:r>
      <w:r>
        <w:rPr>
          <w:b/>
        </w:rPr>
        <w:t>L</w:t>
      </w:r>
      <w:r w:rsidR="00C87FFB">
        <w:rPr>
          <w:b/>
        </w:rPr>
        <w:t>es</w:t>
      </w:r>
      <w:r>
        <w:rPr>
          <w:b/>
        </w:rPr>
        <w:t xml:space="preserve"> note</w:t>
      </w:r>
      <w:r w:rsidR="00C87FFB">
        <w:rPr>
          <w:b/>
        </w:rPr>
        <w:t>s</w:t>
      </w:r>
      <w:r>
        <w:rPr>
          <w:b/>
        </w:rPr>
        <w:t xml:space="preserve"> qualité des prestations </w:t>
      </w:r>
      <w:r w:rsidR="00C87FFB">
        <w:rPr>
          <w:b/>
        </w:rPr>
        <w:t xml:space="preserve">(service après-vente, délai et conditions de livraison) </w:t>
      </w:r>
      <w:r>
        <w:t>ser</w:t>
      </w:r>
      <w:r w:rsidR="00C87FFB">
        <w:t>ont</w:t>
      </w:r>
      <w:r>
        <w:t xml:space="preserve"> basée</w:t>
      </w:r>
      <w:r w:rsidR="00C87FFB">
        <w:t>s</w:t>
      </w:r>
      <w:r>
        <w:t xml:space="preserve"> sur l’étude du mémoire technique explicitant ou précisant l’offre, </w:t>
      </w:r>
    </w:p>
    <w:p w:rsidR="002A75F5" w:rsidRDefault="00224E6B" w:rsidP="004F36A4">
      <w:pPr>
        <w:ind w:left="-5" w:right="11"/>
      </w:pPr>
      <w:r>
        <w:rPr>
          <w:b/>
        </w:rPr>
        <w:t xml:space="preserve">-La note prix </w:t>
      </w:r>
      <w:r>
        <w:t>sera basée sur la somme du prix total du lot.</w:t>
      </w:r>
    </w:p>
    <w:p w:rsidR="00414769" w:rsidRDefault="00414769" w:rsidP="004F36A4">
      <w:pPr>
        <w:ind w:left="-5" w:right="11"/>
      </w:pPr>
    </w:p>
    <w:p w:rsidR="002A75F5" w:rsidRDefault="00224E6B" w:rsidP="004F36A4">
      <w:pPr>
        <w:spacing w:after="215"/>
        <w:ind w:left="-5" w:right="11"/>
      </w:pPr>
      <w:r>
        <w:t>L’attention des candidats est attirée sur le fait que toute offre incomplète ou ne respectant pas les indications de présentation précisées à l’article 6 du présent document sera immédiatement écartée.</w:t>
      </w:r>
    </w:p>
    <w:p w:rsidR="002A75F5" w:rsidRDefault="00224E6B" w:rsidP="004F36A4">
      <w:pPr>
        <w:spacing w:after="248" w:line="259" w:lineRule="auto"/>
        <w:ind w:left="-5" w:right="0"/>
      </w:pPr>
      <w:r>
        <w:rPr>
          <w:b/>
        </w:rPr>
        <w:t xml:space="preserve">ARTICLE 10 – </w:t>
      </w:r>
      <w:r>
        <w:rPr>
          <w:b/>
          <w:u w:val="single" w:color="000000"/>
        </w:rPr>
        <w:t>RENSEIGNEMENTS COMPLÉMENTAIRES</w:t>
      </w:r>
    </w:p>
    <w:p w:rsidR="002A75F5" w:rsidRDefault="00224E6B" w:rsidP="004F36A4">
      <w:pPr>
        <w:spacing w:after="187"/>
        <w:ind w:left="-5" w:right="11"/>
      </w:pPr>
      <w:r>
        <w:t>Pour obtenir tous les renseignements complémentaires qui leur seraient nécessaires au cours de leur étude, les candidats devront faire parvenir au plus tard dix (10) jours avant la date limite de remise des offres, une demande écrite par courrier électronique l'adresse suivante :</w:t>
      </w:r>
      <w:r w:rsidR="00871989">
        <w:t xml:space="preserve"> gest.0401002x@ac-bordeaux.fr</w:t>
      </w:r>
    </w:p>
    <w:p w:rsidR="002A75F5" w:rsidRDefault="00224E6B" w:rsidP="004F36A4">
      <w:pPr>
        <w:ind w:left="-5" w:right="11"/>
      </w:pPr>
      <w:r>
        <w:t>Pour des renseignements d’ordre technique ou administratif</w:t>
      </w:r>
      <w:r w:rsidR="004C410C">
        <w:t xml:space="preserve"> </w:t>
      </w:r>
      <w:r>
        <w:t>:</w:t>
      </w:r>
    </w:p>
    <w:p w:rsidR="00A03B8F" w:rsidRDefault="00A03B8F" w:rsidP="004F36A4">
      <w:pPr>
        <w:ind w:left="-5" w:right="11"/>
      </w:pPr>
    </w:p>
    <w:p w:rsidR="00871989" w:rsidRDefault="00002877" w:rsidP="004F36A4">
      <w:pPr>
        <w:spacing w:after="187"/>
        <w:ind w:left="-5" w:right="11"/>
      </w:pPr>
      <w:r>
        <w:t>Thierry LAUNAY</w:t>
      </w:r>
      <w:r w:rsidR="00224E6B">
        <w:t>, courriel</w:t>
      </w:r>
      <w:r w:rsidR="00871989">
        <w:t xml:space="preserve"> : </w:t>
      </w:r>
      <w:hyperlink r:id="rId9" w:history="1">
        <w:r w:rsidR="00A03B8F" w:rsidRPr="00F05C01">
          <w:rPr>
            <w:rStyle w:val="Lienhypertexte"/>
          </w:rPr>
          <w:t>gest.0401002x@ac-bordeaux.fr</w:t>
        </w:r>
      </w:hyperlink>
    </w:p>
    <w:p w:rsidR="00A03B8F" w:rsidRDefault="00A03B8F" w:rsidP="004F36A4">
      <w:pPr>
        <w:spacing w:after="187"/>
        <w:ind w:left="-5" w:right="11"/>
      </w:pPr>
      <w:r>
        <w:t xml:space="preserve">Didier LEMOIN, courriel : </w:t>
      </w:r>
      <w:r w:rsidRPr="00A03B8F">
        <w:rPr>
          <w:rStyle w:val="Lienhypertexte"/>
        </w:rPr>
        <w:t>commandes.intendance@ac-bordeaux.fr</w:t>
      </w:r>
    </w:p>
    <w:p w:rsidR="002A75F5" w:rsidRDefault="002A75F5" w:rsidP="004F36A4">
      <w:pPr>
        <w:ind w:left="-5" w:right="11"/>
      </w:pPr>
    </w:p>
    <w:sectPr w:rsidR="002A75F5">
      <w:headerReference w:type="even" r:id="rId10"/>
      <w:headerReference w:type="default" r:id="rId11"/>
      <w:headerReference w:type="first" r:id="rId12"/>
      <w:pgSz w:w="11900" w:h="16840"/>
      <w:pgMar w:top="1418" w:right="1128" w:bottom="599" w:left="11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61" w:rsidRDefault="00845D61">
      <w:pPr>
        <w:spacing w:after="0" w:line="240" w:lineRule="auto"/>
      </w:pPr>
      <w:r>
        <w:separator/>
      </w:r>
    </w:p>
  </w:endnote>
  <w:endnote w:type="continuationSeparator" w:id="0">
    <w:p w:rsidR="00845D61" w:rsidRDefault="0084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61" w:rsidRDefault="00845D61">
      <w:pPr>
        <w:spacing w:after="0" w:line="240" w:lineRule="auto"/>
      </w:pPr>
      <w:r>
        <w:separator/>
      </w:r>
    </w:p>
  </w:footnote>
  <w:footnote w:type="continuationSeparator" w:id="0">
    <w:p w:rsidR="00845D61" w:rsidRDefault="0084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F5" w:rsidRDefault="00224E6B">
    <w:pPr>
      <w:spacing w:after="0" w:line="259" w:lineRule="auto"/>
      <w:ind w:left="0" w:right="2" w:firstLine="0"/>
      <w:jc w:val="center"/>
    </w:pPr>
    <w:r>
      <w:rPr>
        <w:rFonts w:ascii="Comic Sans MS" w:eastAsia="Comic Sans MS" w:hAnsi="Comic Sans MS" w:cs="Comic Sans MS"/>
        <w:sz w:val="16"/>
      </w:rPr>
      <w:t>Règlement de consultation  - marché à procédure adaptée – voyage Madrid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F5" w:rsidRDefault="00224E6B">
    <w:pPr>
      <w:spacing w:after="0" w:line="259" w:lineRule="auto"/>
      <w:ind w:left="0" w:right="2" w:firstLine="0"/>
      <w:jc w:val="center"/>
      <w:rPr>
        <w:rFonts w:ascii="Comic Sans MS" w:eastAsia="Comic Sans MS" w:hAnsi="Comic Sans MS" w:cs="Comic Sans MS"/>
        <w:sz w:val="16"/>
      </w:rPr>
    </w:pPr>
    <w:r>
      <w:rPr>
        <w:rFonts w:ascii="Comic Sans MS" w:eastAsia="Comic Sans MS" w:hAnsi="Comic Sans MS" w:cs="Comic Sans MS"/>
        <w:sz w:val="16"/>
      </w:rPr>
      <w:t xml:space="preserve">Règlement de </w:t>
    </w:r>
    <w:r w:rsidR="00442149">
      <w:rPr>
        <w:rFonts w:ascii="Comic Sans MS" w:eastAsia="Comic Sans MS" w:hAnsi="Comic Sans MS" w:cs="Comic Sans MS"/>
        <w:sz w:val="16"/>
      </w:rPr>
      <w:t>consultation -</w:t>
    </w:r>
    <w:r>
      <w:rPr>
        <w:rFonts w:ascii="Comic Sans MS" w:eastAsia="Comic Sans MS" w:hAnsi="Comic Sans MS" w:cs="Comic Sans MS"/>
        <w:sz w:val="16"/>
      </w:rPr>
      <w:t xml:space="preserve"> marché à procédure adaptée </w:t>
    </w:r>
    <w:r w:rsidR="00442149">
      <w:rPr>
        <w:rFonts w:ascii="Comic Sans MS" w:eastAsia="Comic Sans MS" w:hAnsi="Comic Sans MS" w:cs="Comic Sans MS"/>
        <w:sz w:val="16"/>
      </w:rPr>
      <w:t>20</w:t>
    </w:r>
    <w:r w:rsidR="00BE3136">
      <w:rPr>
        <w:rFonts w:ascii="Comic Sans MS" w:eastAsia="Comic Sans MS" w:hAnsi="Comic Sans MS" w:cs="Comic Sans MS"/>
        <w:sz w:val="16"/>
      </w:rPr>
      <w:t>22</w:t>
    </w:r>
  </w:p>
  <w:p w:rsidR="00BE3136" w:rsidRPr="00EC164D" w:rsidRDefault="00BE3136" w:rsidP="00BE3136">
    <w:pPr>
      <w:tabs>
        <w:tab w:val="left" w:pos="426"/>
        <w:tab w:val="left" w:pos="851"/>
      </w:tabs>
      <w:suppressAutoHyphens/>
      <w:spacing w:after="0" w:line="240" w:lineRule="auto"/>
      <w:ind w:left="0" w:right="0" w:firstLine="0"/>
      <w:jc w:val="center"/>
      <w:rPr>
        <w:rFonts w:ascii="Arial" w:hAnsi="Arial" w:cs="Arial"/>
        <w:bCs/>
        <w:kern w:val="36"/>
        <w:sz w:val="20"/>
        <w:szCs w:val="20"/>
      </w:rPr>
    </w:pPr>
    <w:r w:rsidRPr="00A03B8F">
      <w:rPr>
        <w:rFonts w:ascii="Arial" w:hAnsi="Arial" w:cs="Arial"/>
        <w:bCs/>
        <w:kern w:val="36"/>
        <w:sz w:val="20"/>
        <w:szCs w:val="20"/>
      </w:rPr>
      <w:t xml:space="preserve">FOURNITURE </w:t>
    </w:r>
    <w:r>
      <w:rPr>
        <w:rFonts w:ascii="Arial" w:hAnsi="Arial" w:cs="Arial"/>
        <w:bCs/>
        <w:kern w:val="36"/>
        <w:sz w:val="20"/>
        <w:szCs w:val="20"/>
      </w:rPr>
      <w:t>D’UN COMPRESSEUR</w:t>
    </w:r>
    <w:r w:rsidRPr="00EC164D">
      <w:rPr>
        <w:rFonts w:ascii="Arial" w:hAnsi="Arial" w:cs="Arial"/>
        <w:bCs/>
        <w:kern w:val="36"/>
        <w:sz w:val="20"/>
        <w:szCs w:val="20"/>
      </w:rPr>
      <w:t xml:space="preserve"> </w:t>
    </w:r>
  </w:p>
  <w:p w:rsidR="00B318AB" w:rsidRDefault="00BE3136" w:rsidP="00B75A35">
    <w:pPr>
      <w:spacing w:after="0" w:line="240" w:lineRule="auto"/>
      <w:ind w:right="1"/>
      <w:jc w:val="center"/>
      <w:rPr>
        <w:rFonts w:ascii="Arial" w:hAnsi="Arial" w:cs="Arial"/>
        <w:bCs/>
        <w:kern w:val="36"/>
        <w:sz w:val="20"/>
        <w:szCs w:val="20"/>
      </w:rPr>
    </w:pPr>
    <w:r w:rsidRPr="00EC164D">
      <w:rPr>
        <w:rFonts w:ascii="Arial" w:hAnsi="Arial" w:cs="Arial"/>
        <w:bCs/>
        <w:kern w:val="36"/>
        <w:sz w:val="20"/>
        <w:szCs w:val="20"/>
      </w:rPr>
      <w:t xml:space="preserve">POUR LA FILIERE </w:t>
    </w:r>
    <w:r>
      <w:rPr>
        <w:rFonts w:ascii="Arial" w:hAnsi="Arial" w:cs="Arial"/>
        <w:bCs/>
        <w:kern w:val="36"/>
        <w:sz w:val="20"/>
        <w:szCs w:val="20"/>
      </w:rPr>
      <w:t xml:space="preserve">BOIS </w:t>
    </w:r>
    <w:r w:rsidRPr="00A03B8F">
      <w:rPr>
        <w:rFonts w:ascii="Arial" w:hAnsi="Arial" w:cs="Arial"/>
        <w:bCs/>
        <w:kern w:val="36"/>
        <w:sz w:val="20"/>
        <w:szCs w:val="20"/>
      </w:rPr>
      <w:t>DU LYCEE HAROUN TAZIEFF</w:t>
    </w:r>
  </w:p>
  <w:p w:rsidR="00B75A35" w:rsidRPr="00043708" w:rsidRDefault="00B75A35" w:rsidP="00B75A35">
    <w:pPr>
      <w:spacing w:after="0" w:line="240" w:lineRule="auto"/>
      <w:ind w:right="1"/>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F5" w:rsidRDefault="002A75F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092"/>
    <w:multiLevelType w:val="hybridMultilevel"/>
    <w:tmpl w:val="A51836DE"/>
    <w:lvl w:ilvl="0" w:tplc="3E4EA9E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AC8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8C6D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05A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83E7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6E0A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12C9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A065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8BC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494A8E"/>
    <w:multiLevelType w:val="hybridMultilevel"/>
    <w:tmpl w:val="F22E7072"/>
    <w:lvl w:ilvl="0" w:tplc="4A424364">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421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EA1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42F2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C14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E07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0B5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82E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C006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16E06"/>
    <w:multiLevelType w:val="hybridMultilevel"/>
    <w:tmpl w:val="5DA88C0A"/>
    <w:lvl w:ilvl="0" w:tplc="CA6C3BE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0C2FDA">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0970">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A081C0">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28C56">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98964A">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8946C">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80A4C">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453C4">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6E5CAA"/>
    <w:multiLevelType w:val="hybridMultilevel"/>
    <w:tmpl w:val="4EBC1A2A"/>
    <w:lvl w:ilvl="0" w:tplc="18DCF296">
      <w:start w:val="1"/>
      <w:numFmt w:val="bullet"/>
      <w:lvlText w:val=""/>
      <w:lvlJc w:val="left"/>
      <w:pPr>
        <w:ind w:left="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B4C943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1E810B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1CA76CC">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202EFD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F8C5FE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B2AC31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EE2F09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AA2B61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5235B26"/>
    <w:multiLevelType w:val="hybridMultilevel"/>
    <w:tmpl w:val="08922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C56BB"/>
    <w:multiLevelType w:val="hybridMultilevel"/>
    <w:tmpl w:val="2056049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F9606B"/>
    <w:multiLevelType w:val="hybridMultilevel"/>
    <w:tmpl w:val="75129FEA"/>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lvl>
    <w:lvl w:ilvl="2" w:tplc="529A6568">
      <w:start w:val="1"/>
      <w:numFmt w:val="lowerLetter"/>
      <w:lvlText w:val="%3."/>
      <w:lvlJc w:val="left"/>
      <w:pPr>
        <w:tabs>
          <w:tab w:val="num" w:pos="2520"/>
        </w:tabs>
        <w:ind w:left="2520" w:hanging="360"/>
      </w:pPr>
      <w:rPr>
        <w:rFonts w:hint="default"/>
      </w:rPr>
    </w:lvl>
    <w:lvl w:ilvl="3" w:tplc="040C0001">
      <w:start w:val="1"/>
      <w:numFmt w:val="bullet"/>
      <w:lvlText w:val=""/>
      <w:lvlJc w:val="left"/>
      <w:pPr>
        <w:tabs>
          <w:tab w:val="num" w:pos="3240"/>
        </w:tabs>
        <w:ind w:left="3240" w:hanging="360"/>
      </w:pPr>
      <w:rPr>
        <w:rFonts w:ascii="Symbol" w:hAnsi="Symbol" w:hint="default"/>
      </w:rPr>
    </w:lvl>
    <w:lvl w:ilvl="4" w:tplc="67C67E3A">
      <w:start w:val="6"/>
      <w:numFmt w:val="bullet"/>
      <w:lvlText w:val="-"/>
      <w:lvlJc w:val="left"/>
      <w:pPr>
        <w:tabs>
          <w:tab w:val="num" w:pos="3960"/>
        </w:tabs>
        <w:ind w:left="3960" w:hanging="360"/>
      </w:pPr>
      <w:rPr>
        <w:rFonts w:ascii="Times New Roman" w:eastAsia="Times New Roman" w:hAnsi="Times New Roman" w:cs="Times New Roman"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F131CF"/>
    <w:multiLevelType w:val="hybridMultilevel"/>
    <w:tmpl w:val="239A19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1F56B6"/>
    <w:multiLevelType w:val="hybridMultilevel"/>
    <w:tmpl w:val="7408C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286360"/>
    <w:multiLevelType w:val="hybridMultilevel"/>
    <w:tmpl w:val="373EC9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9D33D06"/>
    <w:multiLevelType w:val="hybridMultilevel"/>
    <w:tmpl w:val="A9C8FE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4750CE5"/>
    <w:multiLevelType w:val="hybridMultilevel"/>
    <w:tmpl w:val="1602B77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1"/>
  </w:num>
  <w:num w:numId="6">
    <w:abstractNumId w:val="10"/>
  </w:num>
  <w:num w:numId="7">
    <w:abstractNumId w:val="5"/>
  </w:num>
  <w:num w:numId="8">
    <w:abstractNumId w:val="4"/>
  </w:num>
  <w:num w:numId="9">
    <w:abstractNumId w:val="7"/>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F5"/>
    <w:rsid w:val="00002877"/>
    <w:rsid w:val="00033133"/>
    <w:rsid w:val="00043708"/>
    <w:rsid w:val="000553D3"/>
    <w:rsid w:val="000852E2"/>
    <w:rsid w:val="000A0EC5"/>
    <w:rsid w:val="000C3D73"/>
    <w:rsid w:val="000D530C"/>
    <w:rsid w:val="00123CCF"/>
    <w:rsid w:val="0013288D"/>
    <w:rsid w:val="001D5F5C"/>
    <w:rsid w:val="001E4785"/>
    <w:rsid w:val="001F7EEB"/>
    <w:rsid w:val="002222F4"/>
    <w:rsid w:val="00224E6B"/>
    <w:rsid w:val="00233826"/>
    <w:rsid w:val="002415E1"/>
    <w:rsid w:val="002602B3"/>
    <w:rsid w:val="002A75F5"/>
    <w:rsid w:val="002D09F2"/>
    <w:rsid w:val="002D1F69"/>
    <w:rsid w:val="002D2BD7"/>
    <w:rsid w:val="002E38C2"/>
    <w:rsid w:val="003154D5"/>
    <w:rsid w:val="0032173B"/>
    <w:rsid w:val="00327FF7"/>
    <w:rsid w:val="003425E5"/>
    <w:rsid w:val="00354790"/>
    <w:rsid w:val="00382E10"/>
    <w:rsid w:val="003D3CC0"/>
    <w:rsid w:val="003F2569"/>
    <w:rsid w:val="00406080"/>
    <w:rsid w:val="00414769"/>
    <w:rsid w:val="00442149"/>
    <w:rsid w:val="00444307"/>
    <w:rsid w:val="00473C29"/>
    <w:rsid w:val="00491CD4"/>
    <w:rsid w:val="004C410C"/>
    <w:rsid w:val="004F13CB"/>
    <w:rsid w:val="004F36A4"/>
    <w:rsid w:val="00501201"/>
    <w:rsid w:val="005A4DD1"/>
    <w:rsid w:val="005F26AB"/>
    <w:rsid w:val="00654460"/>
    <w:rsid w:val="00671D26"/>
    <w:rsid w:val="007D4A21"/>
    <w:rsid w:val="0081343D"/>
    <w:rsid w:val="00834227"/>
    <w:rsid w:val="00845D61"/>
    <w:rsid w:val="0086758C"/>
    <w:rsid w:val="00871989"/>
    <w:rsid w:val="008B0802"/>
    <w:rsid w:val="008D43AB"/>
    <w:rsid w:val="00905CDF"/>
    <w:rsid w:val="0091701A"/>
    <w:rsid w:val="0098351F"/>
    <w:rsid w:val="009E2E32"/>
    <w:rsid w:val="009E59FF"/>
    <w:rsid w:val="00A03B8F"/>
    <w:rsid w:val="00A26303"/>
    <w:rsid w:val="00A34DC6"/>
    <w:rsid w:val="00A7058D"/>
    <w:rsid w:val="00B220DD"/>
    <w:rsid w:val="00B318AB"/>
    <w:rsid w:val="00B3410E"/>
    <w:rsid w:val="00B75506"/>
    <w:rsid w:val="00B75A35"/>
    <w:rsid w:val="00B804E9"/>
    <w:rsid w:val="00BA3A91"/>
    <w:rsid w:val="00BE3136"/>
    <w:rsid w:val="00C32D19"/>
    <w:rsid w:val="00C40B40"/>
    <w:rsid w:val="00C41F65"/>
    <w:rsid w:val="00C53045"/>
    <w:rsid w:val="00C659D2"/>
    <w:rsid w:val="00C87FFB"/>
    <w:rsid w:val="00CB5059"/>
    <w:rsid w:val="00D1234A"/>
    <w:rsid w:val="00D578DC"/>
    <w:rsid w:val="00DA7D4A"/>
    <w:rsid w:val="00DE3D26"/>
    <w:rsid w:val="00E2385F"/>
    <w:rsid w:val="00E271B5"/>
    <w:rsid w:val="00E85C3F"/>
    <w:rsid w:val="00EA712F"/>
    <w:rsid w:val="00EB11F4"/>
    <w:rsid w:val="00EC164D"/>
    <w:rsid w:val="00EC2EFD"/>
    <w:rsid w:val="00ED5E3A"/>
    <w:rsid w:val="00EF6E03"/>
    <w:rsid w:val="00F30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F5F8A"/>
  <w15:docId w15:val="{C6889D60-C2CE-4A9E-8161-FBAD51C9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6"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4"/>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5F26AB"/>
    <w:pPr>
      <w:ind w:left="720"/>
      <w:contextualSpacing/>
    </w:pPr>
  </w:style>
  <w:style w:type="paragraph" w:styleId="Pieddepage">
    <w:name w:val="footer"/>
    <w:basedOn w:val="Normal"/>
    <w:link w:val="PieddepageCar"/>
    <w:uiPriority w:val="99"/>
    <w:unhideWhenUsed/>
    <w:rsid w:val="00B31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8AB"/>
    <w:rPr>
      <w:rFonts w:ascii="Calibri" w:eastAsia="Calibri" w:hAnsi="Calibri" w:cs="Calibri"/>
      <w:color w:val="000000"/>
    </w:rPr>
  </w:style>
  <w:style w:type="character" w:styleId="Lienhypertexte">
    <w:name w:val="Hyperlink"/>
    <w:basedOn w:val="Policepardfaut"/>
    <w:uiPriority w:val="99"/>
    <w:unhideWhenUsed/>
    <w:rsid w:val="00A03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f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0401002x@ac-bordeaux.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Maître d’ouvrage :</vt:lpstr>
    </vt:vector>
  </TitlesOfParts>
  <Company>Hewlett-Packard Company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d’ouvrage :</dc:title>
  <dc:subject/>
  <dc:creator>x</dc:creator>
  <cp:keywords/>
  <cp:lastModifiedBy>secgestion6</cp:lastModifiedBy>
  <cp:revision>2</cp:revision>
  <dcterms:created xsi:type="dcterms:W3CDTF">2022-01-19T10:59:00Z</dcterms:created>
  <dcterms:modified xsi:type="dcterms:W3CDTF">2022-01-19T10:59:00Z</dcterms:modified>
</cp:coreProperties>
</file>