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16" w:rsidRDefault="00160669">
      <w:pPr>
        <w:pStyle w:val="Heading3"/>
        <w:rPr>
          <w:rFonts w:ascii="Calibri" w:hAnsi="Calibri" w:cs="Calibri"/>
        </w:rPr>
      </w:pPr>
      <w:r>
        <w:rPr>
          <w:rFonts w:ascii="Calibri" w:hAnsi="Calibri" w:cs="Calibri"/>
          <w:noProof/>
          <w:lang w:eastAsia="fr-FR"/>
        </w:rPr>
        <w:drawing>
          <wp:anchor distT="0" distB="0" distL="114300" distR="114300" simplePos="0" relativeHeight="251658240" behindDoc="1" locked="0" layoutInCell="1" allowOverlap="1">
            <wp:simplePos x="0" y="0"/>
            <wp:positionH relativeFrom="column">
              <wp:posOffset>-81280</wp:posOffset>
            </wp:positionH>
            <wp:positionV relativeFrom="paragraph">
              <wp:posOffset>60325</wp:posOffset>
            </wp:positionV>
            <wp:extent cx="751840" cy="763270"/>
            <wp:effectExtent l="19050" t="0" r="0" b="0"/>
            <wp:wrapTight wrapText="bothSides">
              <wp:wrapPolygon edited="0">
                <wp:start x="-547" y="0"/>
                <wp:lineTo x="-547" y="21025"/>
                <wp:lineTo x="21345" y="21025"/>
                <wp:lineTo x="21345" y="0"/>
                <wp:lineTo x="-547" y="0"/>
              </wp:wrapPolygon>
            </wp:wrapTight>
            <wp:docPr id="3" name="Image 0" descr="cuisine centra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sine centrale logo.png"/>
                    <pic:cNvPicPr/>
                  </pic:nvPicPr>
                  <pic:blipFill>
                    <a:blip r:embed="rId8" cstate="print"/>
                    <a:stretch>
                      <a:fillRect/>
                    </a:stretch>
                  </pic:blipFill>
                  <pic:spPr>
                    <a:xfrm>
                      <a:off x="0" y="0"/>
                      <a:ext cx="751840" cy="763270"/>
                    </a:xfrm>
                    <a:prstGeom prst="rect">
                      <a:avLst/>
                    </a:prstGeom>
                  </pic:spPr>
                </pic:pic>
              </a:graphicData>
            </a:graphic>
          </wp:anchor>
        </w:drawing>
      </w:r>
    </w:p>
    <w:p w:rsidR="003A7816" w:rsidRPr="00425F6E" w:rsidRDefault="000D3DC7" w:rsidP="00E93FD1">
      <w:r w:rsidRPr="00425F6E">
        <w:t>LYCEE PERIER</w:t>
      </w:r>
    </w:p>
    <w:p w:rsidR="003A7816" w:rsidRPr="00425F6E" w:rsidRDefault="000D3DC7" w:rsidP="00E93FD1">
      <w:r w:rsidRPr="00425F6E">
        <w:t>270, rue Paradis</w:t>
      </w:r>
    </w:p>
    <w:p w:rsidR="003A7816" w:rsidRPr="00425F6E" w:rsidRDefault="000D3DC7" w:rsidP="00160669">
      <w:pPr>
        <w:jc w:val="left"/>
      </w:pPr>
      <w:r w:rsidRPr="00425F6E">
        <w:t>13295 Marseille cedex 8</w:t>
      </w:r>
    </w:p>
    <w:p w:rsidR="003A7816" w:rsidRPr="00425F6E" w:rsidRDefault="003A7816" w:rsidP="00E93FD1"/>
    <w:p w:rsidR="003A7816" w:rsidRPr="00425F6E" w:rsidRDefault="003A7816" w:rsidP="00E93FD1"/>
    <w:p w:rsidR="003A7816" w:rsidRPr="00425F6E" w:rsidRDefault="003A7816" w:rsidP="00E93FD1"/>
    <w:p w:rsidR="003A7816" w:rsidRPr="00425F6E" w:rsidRDefault="003A7816" w:rsidP="00E93FD1"/>
    <w:p w:rsidR="003A7816" w:rsidRPr="00375DEF" w:rsidRDefault="000D3DC7" w:rsidP="00375DEF">
      <w:pPr>
        <w:jc w:val="center"/>
        <w:rPr>
          <w:sz w:val="28"/>
        </w:rPr>
      </w:pPr>
      <w:r w:rsidRPr="00375DEF">
        <w:rPr>
          <w:sz w:val="28"/>
        </w:rPr>
        <w:t>MARCHE A PROCEDURE ADAPTEE</w:t>
      </w:r>
    </w:p>
    <w:p w:rsidR="003A7816" w:rsidRPr="00375DEF" w:rsidRDefault="003A7816" w:rsidP="00375DEF">
      <w:pPr>
        <w:jc w:val="center"/>
        <w:rPr>
          <w:sz w:val="28"/>
        </w:rPr>
      </w:pPr>
    </w:p>
    <w:p w:rsidR="003A7816" w:rsidRPr="00375DEF" w:rsidRDefault="000D3DC7" w:rsidP="00375DEF">
      <w:pPr>
        <w:jc w:val="center"/>
        <w:rPr>
          <w:sz w:val="28"/>
        </w:rPr>
      </w:pPr>
      <w:r w:rsidRPr="00375DEF">
        <w:rPr>
          <w:sz w:val="28"/>
        </w:rPr>
        <w:t>CODE DE LA COMMANDE PUBLIQUE</w:t>
      </w:r>
    </w:p>
    <w:p w:rsidR="003A7816" w:rsidRPr="00375DEF" w:rsidRDefault="00AF42C0" w:rsidP="00375DEF">
      <w:pPr>
        <w:jc w:val="center"/>
        <w:rPr>
          <w:sz w:val="28"/>
        </w:rPr>
      </w:pPr>
      <w:hyperlink r:id="rId9" w:history="1">
        <w:r w:rsidR="000D3DC7" w:rsidRPr="00375DEF">
          <w:rPr>
            <w:rFonts w:ascii="Trebuchet MS" w:hAnsi="Trebuchet MS"/>
            <w:color w:val="00000A"/>
            <w:sz w:val="28"/>
          </w:rPr>
          <w:t>Ordonnance n° 2018-1074</w:t>
        </w:r>
      </w:hyperlink>
      <w:r w:rsidR="000D3DC7" w:rsidRPr="00375DEF">
        <w:rPr>
          <w:rFonts w:ascii="Trebuchet MS" w:hAnsi="Trebuchet MS"/>
          <w:sz w:val="28"/>
        </w:rPr>
        <w:t> du 26 novembre 2018</w:t>
      </w:r>
    </w:p>
    <w:p w:rsidR="003A7816" w:rsidRPr="00375DEF" w:rsidRDefault="00AF42C0" w:rsidP="00375DEF">
      <w:pPr>
        <w:jc w:val="center"/>
        <w:rPr>
          <w:sz w:val="28"/>
        </w:rPr>
      </w:pPr>
      <w:hyperlink r:id="rId10" w:history="1">
        <w:r w:rsidR="000D3DC7" w:rsidRPr="00375DEF">
          <w:rPr>
            <w:rFonts w:ascii="Trebuchet MS" w:hAnsi="Trebuchet MS"/>
            <w:color w:val="00000A"/>
            <w:sz w:val="28"/>
          </w:rPr>
          <w:t>Décret n° 2018-1075</w:t>
        </w:r>
      </w:hyperlink>
      <w:r w:rsidR="000D3DC7" w:rsidRPr="00375DEF">
        <w:rPr>
          <w:rFonts w:ascii="Trebuchet MS" w:hAnsi="Trebuchet MS"/>
          <w:sz w:val="28"/>
        </w:rPr>
        <w:t> du 3 décembre 2018</w:t>
      </w:r>
    </w:p>
    <w:p w:rsidR="003A7816" w:rsidRPr="00375DEF" w:rsidRDefault="003A7816" w:rsidP="00375DEF">
      <w:pPr>
        <w:jc w:val="center"/>
        <w:rPr>
          <w:sz w:val="28"/>
        </w:rPr>
      </w:pPr>
    </w:p>
    <w:p w:rsidR="003A7816" w:rsidRPr="00375DEF" w:rsidRDefault="003A7816" w:rsidP="00375DEF">
      <w:pPr>
        <w:jc w:val="center"/>
        <w:rPr>
          <w:sz w:val="28"/>
        </w:rPr>
      </w:pPr>
    </w:p>
    <w:p w:rsidR="003A7816" w:rsidRPr="00375DEF" w:rsidRDefault="003A7816" w:rsidP="00375DEF">
      <w:pPr>
        <w:jc w:val="center"/>
        <w:rPr>
          <w:sz w:val="28"/>
        </w:rPr>
      </w:pPr>
    </w:p>
    <w:p w:rsidR="003A7816" w:rsidRPr="00375DEF" w:rsidRDefault="000D3DC7" w:rsidP="00375DEF">
      <w:pPr>
        <w:jc w:val="center"/>
        <w:rPr>
          <w:sz w:val="28"/>
        </w:rPr>
      </w:pPr>
      <w:r w:rsidRPr="00375DEF">
        <w:rPr>
          <w:sz w:val="28"/>
        </w:rPr>
        <w:t xml:space="preserve">Règlement de consultation </w:t>
      </w:r>
      <w:r w:rsidR="00E93FD1" w:rsidRPr="00375DEF">
        <w:rPr>
          <w:sz w:val="28"/>
        </w:rPr>
        <w:t>commun a</w:t>
      </w:r>
      <w:r w:rsidRPr="00375DEF">
        <w:rPr>
          <w:sz w:val="28"/>
        </w:rPr>
        <w:t>u</w:t>
      </w:r>
      <w:r w:rsidR="00E93FD1" w:rsidRPr="00375DEF">
        <w:rPr>
          <w:sz w:val="28"/>
        </w:rPr>
        <w:t>x</w:t>
      </w:r>
    </w:p>
    <w:p w:rsidR="003A7816" w:rsidRPr="00375DEF" w:rsidRDefault="000D3DC7" w:rsidP="00375DEF">
      <w:pPr>
        <w:jc w:val="center"/>
        <w:rPr>
          <w:sz w:val="28"/>
        </w:rPr>
      </w:pPr>
      <w:proofErr w:type="gramStart"/>
      <w:r w:rsidRPr="00375DEF">
        <w:rPr>
          <w:sz w:val="28"/>
        </w:rPr>
        <w:t>marché</w:t>
      </w:r>
      <w:r w:rsidR="00E93FD1" w:rsidRPr="00375DEF">
        <w:rPr>
          <w:sz w:val="28"/>
        </w:rPr>
        <w:t>s</w:t>
      </w:r>
      <w:proofErr w:type="gramEnd"/>
      <w:r w:rsidRPr="00375DEF">
        <w:rPr>
          <w:sz w:val="28"/>
        </w:rPr>
        <w:t xml:space="preserve"> </w:t>
      </w:r>
      <w:r w:rsidR="00E93FD1" w:rsidRPr="00375DEF">
        <w:rPr>
          <w:sz w:val="28"/>
        </w:rPr>
        <w:t>alimentaires de la cuisine centrale</w:t>
      </w:r>
    </w:p>
    <w:p w:rsidR="003A7816" w:rsidRPr="00375DEF" w:rsidRDefault="000D3DC7" w:rsidP="00375DEF">
      <w:pPr>
        <w:jc w:val="center"/>
        <w:rPr>
          <w:sz w:val="28"/>
        </w:rPr>
      </w:pPr>
      <w:proofErr w:type="gramStart"/>
      <w:r w:rsidRPr="00375DEF">
        <w:rPr>
          <w:sz w:val="28"/>
        </w:rPr>
        <w:t>d</w:t>
      </w:r>
      <w:r w:rsidR="00E93FD1" w:rsidRPr="00375DEF">
        <w:rPr>
          <w:sz w:val="28"/>
        </w:rPr>
        <w:t>u</w:t>
      </w:r>
      <w:proofErr w:type="gramEnd"/>
      <w:r w:rsidR="00E93FD1" w:rsidRPr="00375DEF">
        <w:rPr>
          <w:sz w:val="28"/>
        </w:rPr>
        <w:t xml:space="preserve"> lycée Périer pour l’année 2022</w:t>
      </w:r>
    </w:p>
    <w:p w:rsidR="003A7816" w:rsidRPr="00425F6E" w:rsidRDefault="003A7816" w:rsidP="00E93FD1"/>
    <w:p w:rsidR="003A7816" w:rsidRPr="00425F6E" w:rsidRDefault="003A7816" w:rsidP="00E93FD1"/>
    <w:p w:rsidR="003A7816" w:rsidRPr="00425F6E" w:rsidRDefault="003A7816" w:rsidP="00E93FD1"/>
    <w:p w:rsidR="003A7816" w:rsidRPr="00425F6E" w:rsidRDefault="003A7816">
      <w:pPr>
        <w:pStyle w:val="Standard"/>
        <w:rPr>
          <w:rFonts w:ascii="Calibri" w:hAnsi="Calibri" w:cs="Calibri"/>
        </w:rPr>
      </w:pPr>
    </w:p>
    <w:p w:rsidR="003A7816" w:rsidRPr="00425F6E" w:rsidRDefault="000D3DC7">
      <w:pPr>
        <w:pStyle w:val="Heading7"/>
        <w:tabs>
          <w:tab w:val="clear" w:pos="7656"/>
          <w:tab w:val="right" w:pos="10065"/>
        </w:tabs>
        <w:rPr>
          <w:rFonts w:ascii="Calibri" w:hAnsi="Calibri" w:cs="Calibri"/>
        </w:rPr>
      </w:pPr>
      <w:r w:rsidRPr="00425F6E">
        <w:rPr>
          <w:rFonts w:ascii="Calibri" w:hAnsi="Calibri" w:cs="Calibri"/>
        </w:rPr>
        <w:tab/>
      </w:r>
      <w:r w:rsidRPr="00425F6E">
        <w:rPr>
          <w:rFonts w:ascii="Calibri" w:hAnsi="Calibri" w:cs="Calibri"/>
        </w:rPr>
        <w:tab/>
      </w:r>
      <w:r w:rsidRPr="00425F6E">
        <w:rPr>
          <w:rFonts w:ascii="Calibri" w:hAnsi="Calibri" w:cs="Calibri"/>
        </w:rPr>
        <w:tab/>
        <w:t xml:space="preserve">                                         </w:t>
      </w:r>
      <w:r w:rsidRPr="00425F6E">
        <w:rPr>
          <w:rFonts w:ascii="Calibri" w:hAnsi="Calibri" w:cs="Calibri"/>
        </w:rPr>
        <w:tab/>
        <w:t>Pages</w:t>
      </w:r>
    </w:p>
    <w:p w:rsidR="003A7816" w:rsidRPr="00425F6E" w:rsidRDefault="003A7816">
      <w:pPr>
        <w:pStyle w:val="Standard"/>
        <w:tabs>
          <w:tab w:val="clear" w:pos="2127"/>
          <w:tab w:val="clear" w:pos="3261"/>
          <w:tab w:val="clear" w:pos="5671"/>
          <w:tab w:val="clear" w:pos="7797"/>
          <w:tab w:val="left" w:pos="7656"/>
        </w:tabs>
        <w:rPr>
          <w:rFonts w:ascii="Calibri" w:hAnsi="Calibri" w:cs="Calibri"/>
        </w:rPr>
      </w:pPr>
    </w:p>
    <w:sdt>
      <w:sdtPr>
        <w:rPr>
          <w:rFonts w:ascii="Times New Roman" w:eastAsia="Times New Roman" w:hAnsi="Times New Roman" w:cs="Times New Roman"/>
          <w:b w:val="0"/>
          <w:bCs w:val="0"/>
          <w:color w:val="auto"/>
          <w:kern w:val="3"/>
          <w:sz w:val="20"/>
          <w:szCs w:val="20"/>
          <w:lang w:eastAsia="fr-FR"/>
        </w:rPr>
        <w:id w:val="353292344"/>
        <w:docPartObj>
          <w:docPartGallery w:val="Table of Contents"/>
          <w:docPartUnique/>
        </w:docPartObj>
      </w:sdtPr>
      <w:sdtEndPr>
        <w:rPr>
          <w:rFonts w:ascii="Calibri" w:hAnsi="Calibri"/>
        </w:rPr>
      </w:sdtEndPr>
      <w:sdtContent>
        <w:p w:rsidR="005548C7" w:rsidRDefault="005548C7" w:rsidP="00E93FD1">
          <w:pPr>
            <w:pStyle w:val="En-ttedetabledesmatires"/>
          </w:pPr>
          <w:r>
            <w:t>Sommaire</w:t>
          </w:r>
        </w:p>
        <w:p w:rsidR="009F77D2" w:rsidRDefault="00AF42C0" w:rsidP="009F77D2">
          <w:pPr>
            <w:pStyle w:val="TM1"/>
            <w:rPr>
              <w:rFonts w:asciiTheme="minorHAnsi" w:eastAsiaTheme="minorEastAsia" w:hAnsiTheme="minorHAnsi" w:cstheme="minorBidi"/>
              <w:noProof/>
              <w:kern w:val="0"/>
              <w:sz w:val="22"/>
              <w:szCs w:val="22"/>
            </w:rPr>
          </w:pPr>
          <w:r>
            <w:fldChar w:fldCharType="begin"/>
          </w:r>
          <w:r w:rsidR="005548C7">
            <w:instrText xml:space="preserve"> TOC \o "1-3" \h \z \u </w:instrText>
          </w:r>
          <w:r>
            <w:fldChar w:fldCharType="separate"/>
          </w:r>
          <w:hyperlink w:anchor="_Toc63346210" w:history="1">
            <w:r w:rsidR="009F77D2" w:rsidRPr="00FE7666">
              <w:rPr>
                <w:rStyle w:val="Lienhypertexte"/>
                <w:noProof/>
              </w:rPr>
              <w:t>ART 1 : OBJET DE LA CONSULTATION</w:t>
            </w:r>
            <w:r w:rsidR="009F77D2">
              <w:rPr>
                <w:noProof/>
                <w:webHidden/>
              </w:rPr>
              <w:tab/>
            </w:r>
            <w:r>
              <w:rPr>
                <w:noProof/>
                <w:webHidden/>
              </w:rPr>
              <w:fldChar w:fldCharType="begin"/>
            </w:r>
            <w:r w:rsidR="009F77D2">
              <w:rPr>
                <w:noProof/>
                <w:webHidden/>
              </w:rPr>
              <w:instrText xml:space="preserve"> PAGEREF _Toc63346210 \h </w:instrText>
            </w:r>
            <w:r>
              <w:rPr>
                <w:noProof/>
                <w:webHidden/>
              </w:rPr>
            </w:r>
            <w:r>
              <w:rPr>
                <w:noProof/>
                <w:webHidden/>
              </w:rPr>
              <w:fldChar w:fldCharType="separate"/>
            </w:r>
            <w:r w:rsidR="00557E4C">
              <w:rPr>
                <w:noProof/>
                <w:webHidden/>
              </w:rPr>
              <w:t>2</w:t>
            </w:r>
            <w:r>
              <w:rPr>
                <w:noProof/>
                <w:webHidden/>
              </w:rPr>
              <w:fldChar w:fldCharType="end"/>
            </w:r>
          </w:hyperlink>
        </w:p>
        <w:p w:rsidR="009F77D2" w:rsidRDefault="00AF42C0" w:rsidP="009F77D2">
          <w:pPr>
            <w:pStyle w:val="TM1"/>
            <w:rPr>
              <w:rFonts w:asciiTheme="minorHAnsi" w:eastAsiaTheme="minorEastAsia" w:hAnsiTheme="minorHAnsi" w:cstheme="minorBidi"/>
              <w:noProof/>
              <w:kern w:val="0"/>
              <w:sz w:val="22"/>
              <w:szCs w:val="22"/>
            </w:rPr>
          </w:pPr>
          <w:hyperlink w:anchor="_Toc63346211" w:history="1">
            <w:r w:rsidR="009F77D2" w:rsidRPr="00FE7666">
              <w:rPr>
                <w:rStyle w:val="Lienhypertexte"/>
                <w:noProof/>
              </w:rPr>
              <w:t>ART 2 : CONDITIONS D’APPEL D’OFFRES</w:t>
            </w:r>
            <w:r w:rsidR="009F77D2">
              <w:rPr>
                <w:noProof/>
                <w:webHidden/>
              </w:rPr>
              <w:tab/>
            </w:r>
            <w:r>
              <w:rPr>
                <w:noProof/>
                <w:webHidden/>
              </w:rPr>
              <w:fldChar w:fldCharType="begin"/>
            </w:r>
            <w:r w:rsidR="009F77D2">
              <w:rPr>
                <w:noProof/>
                <w:webHidden/>
              </w:rPr>
              <w:instrText xml:space="preserve"> PAGEREF _Toc63346211 \h </w:instrText>
            </w:r>
            <w:r>
              <w:rPr>
                <w:noProof/>
                <w:webHidden/>
              </w:rPr>
            </w:r>
            <w:r>
              <w:rPr>
                <w:noProof/>
                <w:webHidden/>
              </w:rPr>
              <w:fldChar w:fldCharType="separate"/>
            </w:r>
            <w:r w:rsidR="00557E4C">
              <w:rPr>
                <w:noProof/>
                <w:webHidden/>
              </w:rPr>
              <w:t>2</w:t>
            </w:r>
            <w:r>
              <w:rPr>
                <w:noProof/>
                <w:webHidden/>
              </w:rPr>
              <w:fldChar w:fldCharType="end"/>
            </w:r>
          </w:hyperlink>
        </w:p>
        <w:p w:rsidR="009F77D2" w:rsidRDefault="00AF42C0" w:rsidP="009F77D2">
          <w:pPr>
            <w:pStyle w:val="TM3"/>
            <w:tabs>
              <w:tab w:val="left" w:pos="8505"/>
              <w:tab w:val="right" w:pos="9913"/>
            </w:tabs>
            <w:rPr>
              <w:rFonts w:asciiTheme="minorHAnsi" w:eastAsiaTheme="minorEastAsia" w:hAnsiTheme="minorHAnsi" w:cstheme="minorBidi"/>
              <w:noProof/>
              <w:kern w:val="0"/>
              <w:sz w:val="22"/>
              <w:szCs w:val="22"/>
            </w:rPr>
          </w:pPr>
          <w:hyperlink w:anchor="_Toc63346212" w:history="1">
            <w:r w:rsidR="009F77D2" w:rsidRPr="00FE7666">
              <w:rPr>
                <w:rStyle w:val="Lienhypertexte"/>
                <w:noProof/>
              </w:rPr>
              <w:t>Article 2.1 : étendue de la consultation :</w:t>
            </w:r>
            <w:r w:rsidR="009F77D2">
              <w:rPr>
                <w:noProof/>
                <w:webHidden/>
              </w:rPr>
              <w:tab/>
            </w:r>
            <w:r>
              <w:rPr>
                <w:noProof/>
                <w:webHidden/>
              </w:rPr>
              <w:fldChar w:fldCharType="begin"/>
            </w:r>
            <w:r w:rsidR="009F77D2">
              <w:rPr>
                <w:noProof/>
                <w:webHidden/>
              </w:rPr>
              <w:instrText xml:space="preserve"> PAGEREF _Toc63346212 \h </w:instrText>
            </w:r>
            <w:r>
              <w:rPr>
                <w:noProof/>
                <w:webHidden/>
              </w:rPr>
            </w:r>
            <w:r>
              <w:rPr>
                <w:noProof/>
                <w:webHidden/>
              </w:rPr>
              <w:fldChar w:fldCharType="separate"/>
            </w:r>
            <w:r w:rsidR="00557E4C">
              <w:rPr>
                <w:noProof/>
                <w:webHidden/>
              </w:rPr>
              <w:t>2</w:t>
            </w:r>
            <w:r>
              <w:rPr>
                <w:noProof/>
                <w:webHidden/>
              </w:rPr>
              <w:fldChar w:fldCharType="end"/>
            </w:r>
          </w:hyperlink>
        </w:p>
        <w:p w:rsidR="009F77D2" w:rsidRDefault="00AF42C0" w:rsidP="009F77D2">
          <w:pPr>
            <w:pStyle w:val="TM3"/>
            <w:tabs>
              <w:tab w:val="left" w:pos="8505"/>
              <w:tab w:val="right" w:pos="9913"/>
            </w:tabs>
            <w:rPr>
              <w:rFonts w:asciiTheme="minorHAnsi" w:eastAsiaTheme="minorEastAsia" w:hAnsiTheme="minorHAnsi" w:cstheme="minorBidi"/>
              <w:noProof/>
              <w:kern w:val="0"/>
              <w:sz w:val="22"/>
              <w:szCs w:val="22"/>
            </w:rPr>
          </w:pPr>
          <w:hyperlink w:anchor="_Toc63346213" w:history="1">
            <w:r w:rsidR="009F77D2" w:rsidRPr="00FE7666">
              <w:rPr>
                <w:rStyle w:val="Lienhypertexte"/>
                <w:noProof/>
              </w:rPr>
              <w:t>Article 2.2 : quantités prévisionnelles</w:t>
            </w:r>
            <w:r w:rsidR="009F77D2">
              <w:rPr>
                <w:noProof/>
                <w:webHidden/>
              </w:rPr>
              <w:tab/>
            </w:r>
            <w:r>
              <w:rPr>
                <w:noProof/>
                <w:webHidden/>
              </w:rPr>
              <w:fldChar w:fldCharType="begin"/>
            </w:r>
            <w:r w:rsidR="009F77D2">
              <w:rPr>
                <w:noProof/>
                <w:webHidden/>
              </w:rPr>
              <w:instrText xml:space="preserve"> PAGEREF _Toc63346213 \h </w:instrText>
            </w:r>
            <w:r>
              <w:rPr>
                <w:noProof/>
                <w:webHidden/>
              </w:rPr>
            </w:r>
            <w:r>
              <w:rPr>
                <w:noProof/>
                <w:webHidden/>
              </w:rPr>
              <w:fldChar w:fldCharType="separate"/>
            </w:r>
            <w:r w:rsidR="00557E4C">
              <w:rPr>
                <w:noProof/>
                <w:webHidden/>
              </w:rPr>
              <w:t>2</w:t>
            </w:r>
            <w:r>
              <w:rPr>
                <w:noProof/>
                <w:webHidden/>
              </w:rPr>
              <w:fldChar w:fldCharType="end"/>
            </w:r>
          </w:hyperlink>
        </w:p>
        <w:p w:rsidR="009F77D2" w:rsidRDefault="00AF42C0" w:rsidP="009F77D2">
          <w:pPr>
            <w:pStyle w:val="TM3"/>
            <w:tabs>
              <w:tab w:val="left" w:pos="8505"/>
              <w:tab w:val="right" w:pos="9913"/>
            </w:tabs>
            <w:rPr>
              <w:rFonts w:asciiTheme="minorHAnsi" w:eastAsiaTheme="minorEastAsia" w:hAnsiTheme="minorHAnsi" w:cstheme="minorBidi"/>
              <w:noProof/>
              <w:kern w:val="0"/>
              <w:sz w:val="22"/>
              <w:szCs w:val="22"/>
            </w:rPr>
          </w:pPr>
          <w:hyperlink w:anchor="_Toc63346214" w:history="1">
            <w:r w:rsidR="009F77D2" w:rsidRPr="00FE7666">
              <w:rPr>
                <w:rStyle w:val="Lienhypertexte"/>
                <w:noProof/>
              </w:rPr>
              <w:t>Article 2.3 : durée du marché :</w:t>
            </w:r>
            <w:r w:rsidR="009F77D2">
              <w:rPr>
                <w:noProof/>
                <w:webHidden/>
              </w:rPr>
              <w:tab/>
            </w:r>
            <w:r>
              <w:rPr>
                <w:noProof/>
                <w:webHidden/>
              </w:rPr>
              <w:fldChar w:fldCharType="begin"/>
            </w:r>
            <w:r w:rsidR="009F77D2">
              <w:rPr>
                <w:noProof/>
                <w:webHidden/>
              </w:rPr>
              <w:instrText xml:space="preserve"> PAGEREF _Toc63346214 \h </w:instrText>
            </w:r>
            <w:r>
              <w:rPr>
                <w:noProof/>
                <w:webHidden/>
              </w:rPr>
            </w:r>
            <w:r>
              <w:rPr>
                <w:noProof/>
                <w:webHidden/>
              </w:rPr>
              <w:fldChar w:fldCharType="separate"/>
            </w:r>
            <w:r w:rsidR="00557E4C">
              <w:rPr>
                <w:noProof/>
                <w:webHidden/>
              </w:rPr>
              <w:t>2</w:t>
            </w:r>
            <w:r>
              <w:rPr>
                <w:noProof/>
                <w:webHidden/>
              </w:rPr>
              <w:fldChar w:fldCharType="end"/>
            </w:r>
          </w:hyperlink>
        </w:p>
        <w:p w:rsidR="009F77D2" w:rsidRDefault="00AF42C0" w:rsidP="009F77D2">
          <w:pPr>
            <w:pStyle w:val="TM3"/>
            <w:tabs>
              <w:tab w:val="left" w:pos="8505"/>
              <w:tab w:val="right" w:pos="9913"/>
            </w:tabs>
            <w:rPr>
              <w:rFonts w:asciiTheme="minorHAnsi" w:eastAsiaTheme="minorEastAsia" w:hAnsiTheme="minorHAnsi" w:cstheme="minorBidi"/>
              <w:noProof/>
              <w:kern w:val="0"/>
              <w:sz w:val="22"/>
              <w:szCs w:val="22"/>
            </w:rPr>
          </w:pPr>
          <w:hyperlink w:anchor="_Toc63346215" w:history="1">
            <w:r w:rsidR="009F77D2" w:rsidRPr="00FE7666">
              <w:rPr>
                <w:rStyle w:val="Lienhypertexte"/>
                <w:noProof/>
              </w:rPr>
              <w:t>Article 2.4 : mode de règlement du marché :</w:t>
            </w:r>
            <w:r w:rsidR="009F77D2">
              <w:rPr>
                <w:noProof/>
                <w:webHidden/>
              </w:rPr>
              <w:tab/>
            </w:r>
            <w:r>
              <w:rPr>
                <w:noProof/>
                <w:webHidden/>
              </w:rPr>
              <w:fldChar w:fldCharType="begin"/>
            </w:r>
            <w:r w:rsidR="009F77D2">
              <w:rPr>
                <w:noProof/>
                <w:webHidden/>
              </w:rPr>
              <w:instrText xml:space="preserve"> PAGEREF _Toc63346215 \h </w:instrText>
            </w:r>
            <w:r>
              <w:rPr>
                <w:noProof/>
                <w:webHidden/>
              </w:rPr>
            </w:r>
            <w:r>
              <w:rPr>
                <w:noProof/>
                <w:webHidden/>
              </w:rPr>
              <w:fldChar w:fldCharType="separate"/>
            </w:r>
            <w:r w:rsidR="00557E4C">
              <w:rPr>
                <w:noProof/>
                <w:webHidden/>
              </w:rPr>
              <w:t>2</w:t>
            </w:r>
            <w:r>
              <w:rPr>
                <w:noProof/>
                <w:webHidden/>
              </w:rPr>
              <w:fldChar w:fldCharType="end"/>
            </w:r>
          </w:hyperlink>
        </w:p>
        <w:p w:rsidR="009F77D2" w:rsidRDefault="00AF42C0" w:rsidP="009F77D2">
          <w:pPr>
            <w:pStyle w:val="TM3"/>
            <w:tabs>
              <w:tab w:val="left" w:pos="8505"/>
              <w:tab w:val="right" w:pos="9913"/>
            </w:tabs>
            <w:rPr>
              <w:rFonts w:asciiTheme="minorHAnsi" w:eastAsiaTheme="minorEastAsia" w:hAnsiTheme="minorHAnsi" w:cstheme="minorBidi"/>
              <w:noProof/>
              <w:kern w:val="0"/>
              <w:sz w:val="22"/>
              <w:szCs w:val="22"/>
            </w:rPr>
          </w:pPr>
          <w:hyperlink w:anchor="_Toc63346216" w:history="1">
            <w:r w:rsidR="009F77D2" w:rsidRPr="00FE7666">
              <w:rPr>
                <w:rStyle w:val="Lienhypertexte"/>
                <w:noProof/>
              </w:rPr>
              <w:t>Article 2.5 : modification de détail au dossier de consultation :</w:t>
            </w:r>
            <w:r w:rsidR="009F77D2">
              <w:rPr>
                <w:noProof/>
                <w:webHidden/>
              </w:rPr>
              <w:tab/>
            </w:r>
            <w:r>
              <w:rPr>
                <w:noProof/>
                <w:webHidden/>
              </w:rPr>
              <w:fldChar w:fldCharType="begin"/>
            </w:r>
            <w:r w:rsidR="009F77D2">
              <w:rPr>
                <w:noProof/>
                <w:webHidden/>
              </w:rPr>
              <w:instrText xml:space="preserve"> PAGEREF _Toc63346216 \h </w:instrText>
            </w:r>
            <w:r>
              <w:rPr>
                <w:noProof/>
                <w:webHidden/>
              </w:rPr>
            </w:r>
            <w:r>
              <w:rPr>
                <w:noProof/>
                <w:webHidden/>
              </w:rPr>
              <w:fldChar w:fldCharType="separate"/>
            </w:r>
            <w:r w:rsidR="00557E4C">
              <w:rPr>
                <w:noProof/>
                <w:webHidden/>
              </w:rPr>
              <w:t>2</w:t>
            </w:r>
            <w:r>
              <w:rPr>
                <w:noProof/>
                <w:webHidden/>
              </w:rPr>
              <w:fldChar w:fldCharType="end"/>
            </w:r>
          </w:hyperlink>
        </w:p>
        <w:p w:rsidR="009F77D2" w:rsidRDefault="00AF42C0" w:rsidP="009F77D2">
          <w:pPr>
            <w:pStyle w:val="TM1"/>
            <w:rPr>
              <w:rFonts w:asciiTheme="minorHAnsi" w:eastAsiaTheme="minorEastAsia" w:hAnsiTheme="minorHAnsi" w:cstheme="minorBidi"/>
              <w:noProof/>
              <w:kern w:val="0"/>
              <w:sz w:val="22"/>
              <w:szCs w:val="22"/>
            </w:rPr>
          </w:pPr>
          <w:hyperlink w:anchor="_Toc63346217" w:history="1">
            <w:r w:rsidR="009F77D2" w:rsidRPr="00FE7666">
              <w:rPr>
                <w:rStyle w:val="Lienhypertexte"/>
                <w:noProof/>
              </w:rPr>
              <w:t>ART 3 : CALENDRIER ET JUGEMENT DES OFFRES</w:t>
            </w:r>
            <w:r w:rsidR="009F77D2">
              <w:rPr>
                <w:noProof/>
                <w:webHidden/>
              </w:rPr>
              <w:tab/>
            </w:r>
            <w:r>
              <w:rPr>
                <w:noProof/>
                <w:webHidden/>
              </w:rPr>
              <w:fldChar w:fldCharType="begin"/>
            </w:r>
            <w:r w:rsidR="009F77D2">
              <w:rPr>
                <w:noProof/>
                <w:webHidden/>
              </w:rPr>
              <w:instrText xml:space="preserve"> PAGEREF _Toc63346217 \h </w:instrText>
            </w:r>
            <w:r>
              <w:rPr>
                <w:noProof/>
                <w:webHidden/>
              </w:rPr>
            </w:r>
            <w:r>
              <w:rPr>
                <w:noProof/>
                <w:webHidden/>
              </w:rPr>
              <w:fldChar w:fldCharType="separate"/>
            </w:r>
            <w:r w:rsidR="00557E4C">
              <w:rPr>
                <w:noProof/>
                <w:webHidden/>
              </w:rPr>
              <w:t>3</w:t>
            </w:r>
            <w:r>
              <w:rPr>
                <w:noProof/>
                <w:webHidden/>
              </w:rPr>
              <w:fldChar w:fldCharType="end"/>
            </w:r>
          </w:hyperlink>
        </w:p>
        <w:p w:rsidR="009F77D2" w:rsidRDefault="00AF42C0" w:rsidP="009F77D2">
          <w:pPr>
            <w:pStyle w:val="TM3"/>
            <w:tabs>
              <w:tab w:val="left" w:pos="8505"/>
              <w:tab w:val="right" w:pos="9913"/>
            </w:tabs>
            <w:rPr>
              <w:rFonts w:asciiTheme="minorHAnsi" w:eastAsiaTheme="minorEastAsia" w:hAnsiTheme="minorHAnsi" w:cstheme="minorBidi"/>
              <w:noProof/>
              <w:kern w:val="0"/>
              <w:sz w:val="22"/>
              <w:szCs w:val="22"/>
            </w:rPr>
          </w:pPr>
          <w:hyperlink w:anchor="_Toc63346218" w:history="1">
            <w:r w:rsidR="009F77D2" w:rsidRPr="00FE7666">
              <w:rPr>
                <w:rStyle w:val="Lienhypertexte"/>
                <w:noProof/>
              </w:rPr>
              <w:t>Article 3.1 : calendrier</w:t>
            </w:r>
            <w:r w:rsidR="009F77D2">
              <w:rPr>
                <w:noProof/>
                <w:webHidden/>
              </w:rPr>
              <w:tab/>
            </w:r>
            <w:r>
              <w:rPr>
                <w:noProof/>
                <w:webHidden/>
              </w:rPr>
              <w:fldChar w:fldCharType="begin"/>
            </w:r>
            <w:r w:rsidR="009F77D2">
              <w:rPr>
                <w:noProof/>
                <w:webHidden/>
              </w:rPr>
              <w:instrText xml:space="preserve"> PAGEREF _Toc63346218 \h </w:instrText>
            </w:r>
            <w:r>
              <w:rPr>
                <w:noProof/>
                <w:webHidden/>
              </w:rPr>
            </w:r>
            <w:r>
              <w:rPr>
                <w:noProof/>
                <w:webHidden/>
              </w:rPr>
              <w:fldChar w:fldCharType="separate"/>
            </w:r>
            <w:r w:rsidR="00557E4C">
              <w:rPr>
                <w:noProof/>
                <w:webHidden/>
              </w:rPr>
              <w:t>3</w:t>
            </w:r>
            <w:r>
              <w:rPr>
                <w:noProof/>
                <w:webHidden/>
              </w:rPr>
              <w:fldChar w:fldCharType="end"/>
            </w:r>
          </w:hyperlink>
        </w:p>
        <w:p w:rsidR="009F77D2" w:rsidRDefault="00AF42C0" w:rsidP="009F77D2">
          <w:pPr>
            <w:pStyle w:val="TM3"/>
            <w:tabs>
              <w:tab w:val="left" w:pos="8505"/>
              <w:tab w:val="right" w:pos="9913"/>
            </w:tabs>
            <w:rPr>
              <w:rFonts w:asciiTheme="minorHAnsi" w:eastAsiaTheme="minorEastAsia" w:hAnsiTheme="minorHAnsi" w:cstheme="minorBidi"/>
              <w:noProof/>
              <w:kern w:val="0"/>
              <w:sz w:val="22"/>
              <w:szCs w:val="22"/>
            </w:rPr>
          </w:pPr>
          <w:hyperlink w:anchor="_Toc63346219" w:history="1">
            <w:r w:rsidR="009F77D2" w:rsidRPr="00FE7666">
              <w:rPr>
                <w:rStyle w:val="Lienhypertexte"/>
                <w:noProof/>
              </w:rPr>
              <w:t>Article 3.2 : critères de jugement</w:t>
            </w:r>
            <w:r w:rsidR="009F77D2">
              <w:rPr>
                <w:noProof/>
                <w:webHidden/>
              </w:rPr>
              <w:tab/>
            </w:r>
            <w:r>
              <w:rPr>
                <w:noProof/>
                <w:webHidden/>
              </w:rPr>
              <w:fldChar w:fldCharType="begin"/>
            </w:r>
            <w:r w:rsidR="009F77D2">
              <w:rPr>
                <w:noProof/>
                <w:webHidden/>
              </w:rPr>
              <w:instrText xml:space="preserve"> PAGEREF _Toc63346219 \h </w:instrText>
            </w:r>
            <w:r>
              <w:rPr>
                <w:noProof/>
                <w:webHidden/>
              </w:rPr>
            </w:r>
            <w:r>
              <w:rPr>
                <w:noProof/>
                <w:webHidden/>
              </w:rPr>
              <w:fldChar w:fldCharType="separate"/>
            </w:r>
            <w:r w:rsidR="00557E4C">
              <w:rPr>
                <w:noProof/>
                <w:webHidden/>
              </w:rPr>
              <w:t>3</w:t>
            </w:r>
            <w:r>
              <w:rPr>
                <w:noProof/>
                <w:webHidden/>
              </w:rPr>
              <w:fldChar w:fldCharType="end"/>
            </w:r>
          </w:hyperlink>
        </w:p>
        <w:p w:rsidR="009F77D2" w:rsidRDefault="00AF42C0" w:rsidP="009F77D2">
          <w:pPr>
            <w:pStyle w:val="TM1"/>
            <w:rPr>
              <w:rFonts w:asciiTheme="minorHAnsi" w:eastAsiaTheme="minorEastAsia" w:hAnsiTheme="minorHAnsi" w:cstheme="minorBidi"/>
              <w:noProof/>
              <w:kern w:val="0"/>
              <w:sz w:val="22"/>
              <w:szCs w:val="22"/>
            </w:rPr>
          </w:pPr>
          <w:hyperlink w:anchor="_Toc63346220" w:history="1">
            <w:r w:rsidR="009F77D2" w:rsidRPr="00FE7666">
              <w:rPr>
                <w:rStyle w:val="Lienhypertexte"/>
                <w:noProof/>
              </w:rPr>
              <w:t>ARTICLE 4 : DEMANDE DE DOSSIERS - RENSEIGNEMENTS</w:t>
            </w:r>
            <w:r w:rsidR="009F77D2">
              <w:rPr>
                <w:noProof/>
                <w:webHidden/>
              </w:rPr>
              <w:tab/>
            </w:r>
            <w:r>
              <w:rPr>
                <w:noProof/>
                <w:webHidden/>
              </w:rPr>
              <w:fldChar w:fldCharType="begin"/>
            </w:r>
            <w:r w:rsidR="009F77D2">
              <w:rPr>
                <w:noProof/>
                <w:webHidden/>
              </w:rPr>
              <w:instrText xml:space="preserve"> PAGEREF _Toc63346220 \h </w:instrText>
            </w:r>
            <w:r>
              <w:rPr>
                <w:noProof/>
                <w:webHidden/>
              </w:rPr>
            </w:r>
            <w:r>
              <w:rPr>
                <w:noProof/>
                <w:webHidden/>
              </w:rPr>
              <w:fldChar w:fldCharType="separate"/>
            </w:r>
            <w:r w:rsidR="00557E4C">
              <w:rPr>
                <w:noProof/>
                <w:webHidden/>
              </w:rPr>
              <w:t>3</w:t>
            </w:r>
            <w:r>
              <w:rPr>
                <w:noProof/>
                <w:webHidden/>
              </w:rPr>
              <w:fldChar w:fldCharType="end"/>
            </w:r>
          </w:hyperlink>
        </w:p>
        <w:p w:rsidR="009F77D2" w:rsidRDefault="00AF42C0" w:rsidP="009F77D2">
          <w:pPr>
            <w:pStyle w:val="TM1"/>
            <w:rPr>
              <w:rFonts w:asciiTheme="minorHAnsi" w:eastAsiaTheme="minorEastAsia" w:hAnsiTheme="minorHAnsi" w:cstheme="minorBidi"/>
              <w:noProof/>
              <w:kern w:val="0"/>
              <w:sz w:val="22"/>
              <w:szCs w:val="22"/>
            </w:rPr>
          </w:pPr>
          <w:hyperlink w:anchor="_Toc63346221" w:history="1">
            <w:r w:rsidR="009F77D2" w:rsidRPr="00FE7666">
              <w:rPr>
                <w:rStyle w:val="Lienhypertexte"/>
                <w:noProof/>
              </w:rPr>
              <w:t>ARTICLE 5 : CONDITIONS D’ENVOI ET DE REMISE DES OFFRES</w:t>
            </w:r>
            <w:r w:rsidR="009F77D2">
              <w:rPr>
                <w:noProof/>
                <w:webHidden/>
              </w:rPr>
              <w:tab/>
            </w:r>
            <w:r>
              <w:rPr>
                <w:noProof/>
                <w:webHidden/>
              </w:rPr>
              <w:fldChar w:fldCharType="begin"/>
            </w:r>
            <w:r w:rsidR="009F77D2">
              <w:rPr>
                <w:noProof/>
                <w:webHidden/>
              </w:rPr>
              <w:instrText xml:space="preserve"> PAGEREF _Toc63346221 \h </w:instrText>
            </w:r>
            <w:r>
              <w:rPr>
                <w:noProof/>
                <w:webHidden/>
              </w:rPr>
            </w:r>
            <w:r>
              <w:rPr>
                <w:noProof/>
                <w:webHidden/>
              </w:rPr>
              <w:fldChar w:fldCharType="separate"/>
            </w:r>
            <w:r w:rsidR="00557E4C">
              <w:rPr>
                <w:noProof/>
                <w:webHidden/>
              </w:rPr>
              <w:t>3</w:t>
            </w:r>
            <w:r>
              <w:rPr>
                <w:noProof/>
                <w:webHidden/>
              </w:rPr>
              <w:fldChar w:fldCharType="end"/>
            </w:r>
          </w:hyperlink>
        </w:p>
        <w:p w:rsidR="005548C7" w:rsidRDefault="00AF42C0" w:rsidP="00375DEF">
          <w:pPr>
            <w:tabs>
              <w:tab w:val="right" w:pos="8505"/>
            </w:tabs>
          </w:pPr>
          <w:r>
            <w:fldChar w:fldCharType="end"/>
          </w:r>
        </w:p>
      </w:sdtContent>
    </w:sdt>
    <w:p w:rsidR="003A7816" w:rsidRPr="00425F6E" w:rsidRDefault="003A7816">
      <w:pPr>
        <w:pStyle w:val="Standard"/>
        <w:tabs>
          <w:tab w:val="clear" w:pos="2127"/>
          <w:tab w:val="clear" w:pos="3261"/>
          <w:tab w:val="clear" w:pos="5671"/>
          <w:tab w:val="clear" w:pos="7797"/>
          <w:tab w:val="left" w:pos="7656"/>
          <w:tab w:val="right" w:pos="10065"/>
          <w:tab w:val="right" w:pos="10349"/>
        </w:tabs>
        <w:rPr>
          <w:rFonts w:ascii="Calibri" w:hAnsi="Calibri" w:cs="Calibri"/>
        </w:rPr>
      </w:pPr>
    </w:p>
    <w:p w:rsidR="003A7816" w:rsidRPr="00425F6E" w:rsidRDefault="003A7816">
      <w:pPr>
        <w:pStyle w:val="Standard"/>
        <w:rPr>
          <w:rFonts w:ascii="Calibri" w:hAnsi="Calibri" w:cs="Calibri"/>
        </w:rPr>
      </w:pPr>
    </w:p>
    <w:p w:rsidR="003A7816" w:rsidRPr="00425F6E" w:rsidRDefault="003A7816">
      <w:pPr>
        <w:pStyle w:val="Standard"/>
        <w:rPr>
          <w:rFonts w:ascii="Calibri" w:hAnsi="Calibri" w:cs="Calibri"/>
        </w:rPr>
      </w:pPr>
    </w:p>
    <w:p w:rsidR="003A7816" w:rsidRPr="00425F6E" w:rsidRDefault="003A7816">
      <w:pPr>
        <w:pStyle w:val="Standard"/>
        <w:rPr>
          <w:rFonts w:ascii="Calibri" w:hAnsi="Calibri" w:cs="Calibri"/>
        </w:rPr>
      </w:pPr>
    </w:p>
    <w:p w:rsidR="003A7816" w:rsidRPr="00425F6E" w:rsidRDefault="003A7816">
      <w:pPr>
        <w:pStyle w:val="Standard"/>
        <w:rPr>
          <w:rFonts w:ascii="Calibri" w:hAnsi="Calibri" w:cs="Calibri"/>
        </w:rPr>
      </w:pPr>
    </w:p>
    <w:p w:rsidR="003A7816" w:rsidRPr="00425F6E" w:rsidRDefault="003A7816">
      <w:pPr>
        <w:pStyle w:val="Standard"/>
        <w:rPr>
          <w:rFonts w:ascii="Calibri" w:hAnsi="Calibri" w:cs="Calibri"/>
        </w:rPr>
      </w:pPr>
    </w:p>
    <w:p w:rsidR="003A7816" w:rsidRPr="00425F6E" w:rsidRDefault="003A7816">
      <w:pPr>
        <w:pStyle w:val="Standard"/>
        <w:rPr>
          <w:rFonts w:ascii="Calibri" w:hAnsi="Calibri" w:cs="Calibri"/>
        </w:rPr>
      </w:pPr>
    </w:p>
    <w:p w:rsidR="00E93FD1" w:rsidRDefault="00E93FD1">
      <w:pPr>
        <w:jc w:val="left"/>
        <w:rPr>
          <w:rFonts w:cs="Calibri"/>
          <w:lang w:eastAsia="zh-CN"/>
        </w:rPr>
      </w:pPr>
      <w:r>
        <w:rPr>
          <w:rFonts w:cs="Calibri"/>
        </w:rPr>
        <w:br w:type="page"/>
      </w:r>
    </w:p>
    <w:p w:rsidR="003A7816" w:rsidRPr="00425F6E" w:rsidRDefault="000D3DC7" w:rsidP="00E93FD1">
      <w:pPr>
        <w:pStyle w:val="Titre1"/>
      </w:pPr>
      <w:bookmarkStart w:id="0" w:name="_Toc63346210"/>
      <w:r w:rsidRPr="00425F6E">
        <w:lastRenderedPageBreak/>
        <w:t>ART 1 : OBJET DE LA CONSULTATION</w:t>
      </w:r>
      <w:bookmarkEnd w:id="0"/>
    </w:p>
    <w:p w:rsidR="00E93FD1" w:rsidRPr="00914AF7" w:rsidRDefault="00E93FD1" w:rsidP="00E93FD1">
      <w:r w:rsidRPr="00914AF7">
        <w:t>La présente consultation concerne la fourniture de denrées et produits alimentaires à compter du 1</w:t>
      </w:r>
      <w:r w:rsidRPr="00914AF7">
        <w:rPr>
          <w:vertAlign w:val="superscript"/>
        </w:rPr>
        <w:t>er</w:t>
      </w:r>
      <w:r>
        <w:t xml:space="preserve"> janvier 202</w:t>
      </w:r>
      <w:r w:rsidR="005D6EF4">
        <w:t>2</w:t>
      </w:r>
      <w:r>
        <w:t xml:space="preserve"> pour le </w:t>
      </w:r>
      <w:r w:rsidRPr="00E93FD1">
        <w:t>compte</w:t>
      </w:r>
      <w:r w:rsidR="005D6EF4">
        <w:t xml:space="preserve"> du groupement de commandes du</w:t>
      </w:r>
      <w:r>
        <w:t xml:space="preserve"> lycée Périer</w:t>
      </w:r>
      <w:r w:rsidR="005D6EF4">
        <w:t xml:space="preserve"> (</w:t>
      </w:r>
      <w:r w:rsidR="005D6EF4" w:rsidRPr="005D6EF4">
        <w:rPr>
          <w:i/>
        </w:rPr>
        <w:t>cuisine centrale Périer, lycée Daumier, lycée Blaise Pascal</w:t>
      </w:r>
      <w:r w:rsidR="005D6EF4">
        <w:t>)</w:t>
      </w:r>
      <w:r>
        <w:t>. Cette consultation comporte les marchés suivants, renouvelables dans les conditions énoncées :</w:t>
      </w:r>
    </w:p>
    <w:p w:rsidR="00E93FD1" w:rsidRDefault="00E93FD1" w:rsidP="00E93F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986"/>
        <w:gridCol w:w="4969"/>
        <w:gridCol w:w="932"/>
        <w:gridCol w:w="1317"/>
      </w:tblGrid>
      <w:tr w:rsidR="00E93FD1" w:rsidRPr="00E93FD1" w:rsidTr="00E93FD1">
        <w:trPr>
          <w:cantSplit/>
          <w:trHeight w:val="567"/>
          <w:jc w:val="center"/>
        </w:trPr>
        <w:tc>
          <w:tcPr>
            <w:tcW w:w="983"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NUMERO</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CODE MARCHE</w:t>
            </w:r>
          </w:p>
        </w:tc>
        <w:tc>
          <w:tcPr>
            <w:tcW w:w="4969"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DENOMINATION</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DUREE (année)</w:t>
            </w:r>
          </w:p>
        </w:tc>
        <w:tc>
          <w:tcPr>
            <w:tcW w:w="1317" w:type="dxa"/>
            <w:vAlign w:val="center"/>
          </w:tcPr>
          <w:p w:rsidR="00E93FD1" w:rsidRPr="00E93FD1" w:rsidRDefault="00E93FD1" w:rsidP="00E93FD1">
            <w:pPr>
              <w:rPr>
                <w:rFonts w:asciiTheme="minorHAnsi" w:hAnsiTheme="minorHAnsi" w:cstheme="minorHAnsi"/>
              </w:rPr>
            </w:pPr>
            <w:r>
              <w:rPr>
                <w:rFonts w:asciiTheme="minorHAnsi" w:hAnsiTheme="minorHAnsi" w:cstheme="minorHAnsi"/>
              </w:rPr>
              <w:t>Renouvelable (fois)</w:t>
            </w:r>
          </w:p>
        </w:tc>
      </w:tr>
      <w:tr w:rsidR="00E93FD1" w:rsidRPr="00E93FD1" w:rsidTr="00E93FD1">
        <w:trPr>
          <w:cantSplit/>
          <w:trHeight w:val="567"/>
          <w:jc w:val="center"/>
        </w:trPr>
        <w:tc>
          <w:tcPr>
            <w:tcW w:w="983"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EPIC1</w:t>
            </w:r>
          </w:p>
        </w:tc>
        <w:tc>
          <w:tcPr>
            <w:tcW w:w="4969" w:type="dxa"/>
            <w:vAlign w:val="center"/>
          </w:tcPr>
          <w:p w:rsidR="00E93FD1" w:rsidRPr="00E93FD1" w:rsidRDefault="00E93FD1" w:rsidP="00E93FD1">
            <w:pPr>
              <w:jc w:val="left"/>
              <w:rPr>
                <w:rFonts w:asciiTheme="minorHAnsi" w:hAnsiTheme="minorHAnsi" w:cstheme="minorHAnsi"/>
              </w:rPr>
            </w:pPr>
            <w:r w:rsidRPr="00E93FD1">
              <w:rPr>
                <w:rFonts w:asciiTheme="minorHAnsi" w:hAnsiTheme="minorHAnsi" w:cstheme="minorHAnsi"/>
              </w:rPr>
              <w:t>CONSERVES DE LEGUMES, CONDIMENTS,</w:t>
            </w:r>
            <w:r w:rsidR="00557E4C">
              <w:rPr>
                <w:rFonts w:asciiTheme="minorHAnsi" w:hAnsiTheme="minorHAnsi" w:cstheme="minorHAnsi"/>
              </w:rPr>
              <w:t xml:space="preserve"> </w:t>
            </w:r>
            <w:r w:rsidRPr="00E93FD1">
              <w:rPr>
                <w:rFonts w:asciiTheme="minorHAnsi" w:hAnsiTheme="minorHAnsi" w:cstheme="minorHAnsi"/>
              </w:rPr>
              <w:t>CONSERVES CUISINEES ET PREPARATIONS</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2*</w:t>
            </w:r>
          </w:p>
        </w:tc>
      </w:tr>
      <w:tr w:rsidR="00E93FD1" w:rsidRPr="00E93FD1" w:rsidTr="00E93FD1">
        <w:trPr>
          <w:cantSplit/>
          <w:trHeight w:val="567"/>
          <w:jc w:val="center"/>
        </w:trPr>
        <w:tc>
          <w:tcPr>
            <w:tcW w:w="983"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2</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EPIC2</w:t>
            </w:r>
          </w:p>
        </w:tc>
        <w:tc>
          <w:tcPr>
            <w:tcW w:w="4969" w:type="dxa"/>
            <w:vAlign w:val="center"/>
          </w:tcPr>
          <w:p w:rsidR="00E93FD1" w:rsidRPr="00E93FD1" w:rsidRDefault="00E93FD1" w:rsidP="00E93FD1">
            <w:pPr>
              <w:jc w:val="left"/>
              <w:rPr>
                <w:rFonts w:asciiTheme="minorHAnsi" w:hAnsiTheme="minorHAnsi" w:cstheme="minorHAnsi"/>
              </w:rPr>
            </w:pPr>
            <w:r w:rsidRPr="00E93FD1">
              <w:rPr>
                <w:rFonts w:asciiTheme="minorHAnsi" w:hAnsiTheme="minorHAnsi" w:cstheme="minorHAnsi"/>
              </w:rPr>
              <w:t>ASSAISONNEMENTS, FONDS ET SAUCES DESHYDRATEES</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2*</w:t>
            </w:r>
          </w:p>
        </w:tc>
      </w:tr>
      <w:tr w:rsidR="00E93FD1" w:rsidRPr="00E93FD1" w:rsidTr="00E93FD1">
        <w:trPr>
          <w:cantSplit/>
          <w:trHeight w:val="567"/>
          <w:jc w:val="center"/>
        </w:trPr>
        <w:tc>
          <w:tcPr>
            <w:tcW w:w="983"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3</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EPIC3</w:t>
            </w:r>
          </w:p>
        </w:tc>
        <w:tc>
          <w:tcPr>
            <w:tcW w:w="4969"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SEL, EPICES, SUCRE ET HUILES</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2*</w:t>
            </w:r>
          </w:p>
        </w:tc>
      </w:tr>
      <w:tr w:rsidR="00E93FD1" w:rsidRPr="00E93FD1" w:rsidTr="00E93FD1">
        <w:trPr>
          <w:cantSplit/>
          <w:trHeight w:val="567"/>
          <w:jc w:val="center"/>
        </w:trPr>
        <w:tc>
          <w:tcPr>
            <w:tcW w:w="983"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4</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EPIC4</w:t>
            </w:r>
          </w:p>
        </w:tc>
        <w:tc>
          <w:tcPr>
            <w:tcW w:w="4969"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PATES, RIZ ET SEMOULES</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2*</w:t>
            </w:r>
          </w:p>
        </w:tc>
      </w:tr>
      <w:tr w:rsidR="00E93FD1" w:rsidRPr="00E93FD1" w:rsidTr="00E93FD1">
        <w:trPr>
          <w:cantSplit/>
          <w:trHeight w:val="567"/>
          <w:jc w:val="center"/>
        </w:trPr>
        <w:tc>
          <w:tcPr>
            <w:tcW w:w="983"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5</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MER1</w:t>
            </w:r>
          </w:p>
        </w:tc>
        <w:tc>
          <w:tcPr>
            <w:tcW w:w="4969" w:type="dxa"/>
            <w:vAlign w:val="center"/>
          </w:tcPr>
          <w:p w:rsidR="00E93FD1" w:rsidRPr="00E93FD1" w:rsidRDefault="00E93FD1" w:rsidP="00E93FD1">
            <w:pPr>
              <w:jc w:val="left"/>
              <w:rPr>
                <w:rFonts w:asciiTheme="minorHAnsi" w:hAnsiTheme="minorHAnsi" w:cstheme="minorHAnsi"/>
              </w:rPr>
            </w:pPr>
            <w:r w:rsidRPr="00E93FD1">
              <w:rPr>
                <w:rFonts w:asciiTheme="minorHAnsi" w:hAnsiTheme="minorHAnsi" w:cstheme="minorHAnsi"/>
              </w:rPr>
              <w:t>FILETS DE POISSONS NATURES SURGELES ET PREPARATIONS FRAICHES A BASE DE POISSON</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3F2746" w:rsidP="00E93FD1">
            <w:pPr>
              <w:rPr>
                <w:rFonts w:asciiTheme="minorHAnsi" w:hAnsiTheme="minorHAnsi" w:cstheme="minorHAnsi"/>
              </w:rPr>
            </w:pPr>
            <w:r>
              <w:rPr>
                <w:rFonts w:asciiTheme="minorHAnsi" w:hAnsiTheme="minorHAnsi" w:cstheme="minorHAnsi"/>
              </w:rPr>
              <w:t>1</w:t>
            </w:r>
            <w:r w:rsidR="00E93FD1" w:rsidRPr="00E93FD1">
              <w:rPr>
                <w:rFonts w:asciiTheme="minorHAnsi" w:hAnsiTheme="minorHAnsi" w:cstheme="minorHAnsi"/>
              </w:rPr>
              <w:t>*</w:t>
            </w:r>
          </w:p>
        </w:tc>
      </w:tr>
      <w:tr w:rsidR="00E93FD1" w:rsidRPr="00E93FD1" w:rsidTr="00E93FD1">
        <w:trPr>
          <w:cantSplit/>
          <w:trHeight w:val="567"/>
          <w:jc w:val="center"/>
        </w:trPr>
        <w:tc>
          <w:tcPr>
            <w:tcW w:w="983"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6</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MER2</w:t>
            </w:r>
          </w:p>
        </w:tc>
        <w:tc>
          <w:tcPr>
            <w:tcW w:w="4969" w:type="dxa"/>
            <w:vAlign w:val="center"/>
          </w:tcPr>
          <w:p w:rsidR="00E93FD1" w:rsidRPr="00E93FD1" w:rsidRDefault="00E93FD1" w:rsidP="00E93FD1">
            <w:pPr>
              <w:jc w:val="left"/>
              <w:rPr>
                <w:rFonts w:asciiTheme="minorHAnsi" w:hAnsiTheme="minorHAnsi" w:cstheme="minorHAnsi"/>
              </w:rPr>
            </w:pPr>
            <w:r w:rsidRPr="00E93FD1">
              <w:rPr>
                <w:rFonts w:asciiTheme="minorHAnsi" w:hAnsiTheme="minorHAnsi" w:cstheme="minorHAnsi"/>
              </w:rPr>
              <w:t>PREPARATIONS A BASE DE POISSON, NATURES ET ELABOREES</w:t>
            </w:r>
            <w:r w:rsidR="00294F08">
              <w:rPr>
                <w:rFonts w:asciiTheme="minorHAnsi" w:hAnsiTheme="minorHAnsi" w:cstheme="minorHAnsi"/>
              </w:rPr>
              <w:t xml:space="preserve"> –CRUSTACES ET MOLLUSQUES</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3F2746" w:rsidP="00E93FD1">
            <w:pPr>
              <w:rPr>
                <w:rFonts w:asciiTheme="minorHAnsi" w:hAnsiTheme="minorHAnsi" w:cstheme="minorHAnsi"/>
              </w:rPr>
            </w:pPr>
            <w:r>
              <w:rPr>
                <w:rFonts w:asciiTheme="minorHAnsi" w:hAnsiTheme="minorHAnsi" w:cstheme="minorHAnsi"/>
              </w:rPr>
              <w:t>2</w:t>
            </w:r>
            <w:r w:rsidR="00E93FD1" w:rsidRPr="00E93FD1">
              <w:rPr>
                <w:rFonts w:asciiTheme="minorHAnsi" w:hAnsiTheme="minorHAnsi" w:cstheme="minorHAnsi"/>
              </w:rPr>
              <w:t>*</w:t>
            </w:r>
          </w:p>
        </w:tc>
      </w:tr>
      <w:tr w:rsidR="00E93FD1" w:rsidRPr="00E93FD1" w:rsidTr="00E93FD1">
        <w:trPr>
          <w:cantSplit/>
          <w:trHeight w:val="567"/>
          <w:jc w:val="center"/>
        </w:trPr>
        <w:tc>
          <w:tcPr>
            <w:tcW w:w="983" w:type="dxa"/>
            <w:vAlign w:val="center"/>
          </w:tcPr>
          <w:p w:rsidR="00E93FD1" w:rsidRPr="00E93FD1" w:rsidRDefault="00294F08" w:rsidP="00E93FD1">
            <w:pPr>
              <w:rPr>
                <w:rFonts w:asciiTheme="minorHAnsi" w:hAnsiTheme="minorHAnsi" w:cstheme="minorHAnsi"/>
              </w:rPr>
            </w:pPr>
            <w:r>
              <w:rPr>
                <w:rFonts w:asciiTheme="minorHAnsi" w:hAnsiTheme="minorHAnsi" w:cstheme="minorHAnsi"/>
              </w:rPr>
              <w:t>7</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SURG1</w:t>
            </w:r>
          </w:p>
        </w:tc>
        <w:tc>
          <w:tcPr>
            <w:tcW w:w="4969" w:type="dxa"/>
            <w:vAlign w:val="center"/>
          </w:tcPr>
          <w:p w:rsidR="00E93FD1" w:rsidRPr="00E93FD1" w:rsidRDefault="00E93FD1" w:rsidP="00E93FD1">
            <w:pPr>
              <w:jc w:val="left"/>
              <w:rPr>
                <w:rFonts w:asciiTheme="minorHAnsi" w:hAnsiTheme="minorHAnsi" w:cstheme="minorHAnsi"/>
              </w:rPr>
            </w:pPr>
            <w:r w:rsidRPr="00E93FD1">
              <w:rPr>
                <w:rFonts w:asciiTheme="minorHAnsi" w:hAnsiTheme="minorHAnsi" w:cstheme="minorHAnsi"/>
              </w:rPr>
              <w:t>VIANDES, VOLAILLES, PLATS PREPARES, ENTREES ET DESSERTS SURGELES</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2*</w:t>
            </w:r>
          </w:p>
        </w:tc>
      </w:tr>
      <w:tr w:rsidR="00E93FD1" w:rsidRPr="00E93FD1" w:rsidTr="00E93FD1">
        <w:trPr>
          <w:cantSplit/>
          <w:trHeight w:val="567"/>
          <w:jc w:val="center"/>
        </w:trPr>
        <w:tc>
          <w:tcPr>
            <w:tcW w:w="983" w:type="dxa"/>
            <w:vAlign w:val="center"/>
          </w:tcPr>
          <w:p w:rsidR="00E93FD1" w:rsidRPr="00E93FD1" w:rsidRDefault="00294F08" w:rsidP="00E93FD1">
            <w:pPr>
              <w:rPr>
                <w:rFonts w:asciiTheme="minorHAnsi" w:hAnsiTheme="minorHAnsi" w:cstheme="minorHAnsi"/>
              </w:rPr>
            </w:pPr>
            <w:r>
              <w:rPr>
                <w:rFonts w:asciiTheme="minorHAnsi" w:hAnsiTheme="minorHAnsi" w:cstheme="minorHAnsi"/>
              </w:rPr>
              <w:t>8</w:t>
            </w:r>
          </w:p>
        </w:tc>
        <w:tc>
          <w:tcPr>
            <w:tcW w:w="986"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VPAC2</w:t>
            </w:r>
          </w:p>
        </w:tc>
        <w:tc>
          <w:tcPr>
            <w:tcW w:w="4969"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VIANDES : CÔTES ET ROTIS</w:t>
            </w:r>
          </w:p>
        </w:tc>
        <w:tc>
          <w:tcPr>
            <w:tcW w:w="932"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1</w:t>
            </w:r>
          </w:p>
        </w:tc>
        <w:tc>
          <w:tcPr>
            <w:tcW w:w="1317" w:type="dxa"/>
            <w:vAlign w:val="center"/>
          </w:tcPr>
          <w:p w:rsidR="00E93FD1" w:rsidRPr="00E93FD1" w:rsidRDefault="00E93FD1" w:rsidP="00E93FD1">
            <w:pPr>
              <w:rPr>
                <w:rFonts w:asciiTheme="minorHAnsi" w:hAnsiTheme="minorHAnsi" w:cstheme="minorHAnsi"/>
              </w:rPr>
            </w:pPr>
            <w:r w:rsidRPr="00E93FD1">
              <w:rPr>
                <w:rFonts w:asciiTheme="minorHAnsi" w:hAnsiTheme="minorHAnsi" w:cstheme="minorHAnsi"/>
              </w:rPr>
              <w:t>2*</w:t>
            </w:r>
          </w:p>
        </w:tc>
      </w:tr>
    </w:tbl>
    <w:p w:rsidR="003A7816" w:rsidRPr="00425F6E" w:rsidRDefault="000D3DC7" w:rsidP="00E93FD1">
      <w:pPr>
        <w:pStyle w:val="Titre1"/>
      </w:pPr>
      <w:bookmarkStart w:id="1" w:name="_Toc63346211"/>
      <w:r w:rsidRPr="00425F6E">
        <w:t>ART 2 : CONDITIONS D’APPEL D’OFFRE</w:t>
      </w:r>
      <w:r w:rsidR="00F32306">
        <w:t>S</w:t>
      </w:r>
      <w:bookmarkEnd w:id="1"/>
      <w:r w:rsidRPr="00425F6E">
        <w:t xml:space="preserve"> </w:t>
      </w:r>
    </w:p>
    <w:p w:rsidR="003A7816" w:rsidRPr="00425F6E" w:rsidRDefault="000D3DC7" w:rsidP="00E93FD1">
      <w:pPr>
        <w:pStyle w:val="Titre3"/>
      </w:pPr>
      <w:bookmarkStart w:id="2" w:name="_Toc63346212"/>
      <w:r w:rsidRPr="00425F6E">
        <w:t>Article 2.1 : étendue de la consultation :</w:t>
      </w:r>
      <w:bookmarkEnd w:id="2"/>
    </w:p>
    <w:p w:rsidR="003A7816" w:rsidRPr="00425F6E" w:rsidRDefault="000D3DC7">
      <w:pPr>
        <w:pStyle w:val="Standard"/>
        <w:rPr>
          <w:rFonts w:ascii="Calibri" w:hAnsi="Calibri" w:cs="Calibri"/>
        </w:rPr>
      </w:pPr>
      <w:r w:rsidRPr="00425F6E">
        <w:rPr>
          <w:rFonts w:ascii="Calibri" w:hAnsi="Calibri" w:cs="Calibri"/>
        </w:rPr>
        <w:t>Le</w:t>
      </w:r>
      <w:r w:rsidR="00E93FD1">
        <w:rPr>
          <w:rFonts w:ascii="Calibri" w:hAnsi="Calibri" w:cs="Calibri"/>
        </w:rPr>
        <w:t>s</w:t>
      </w:r>
      <w:r w:rsidRPr="00425F6E">
        <w:rPr>
          <w:rFonts w:ascii="Calibri" w:hAnsi="Calibri" w:cs="Calibri"/>
        </w:rPr>
        <w:t xml:space="preserve"> marché</w:t>
      </w:r>
      <w:r w:rsidR="00E93FD1">
        <w:rPr>
          <w:rFonts w:ascii="Calibri" w:hAnsi="Calibri" w:cs="Calibri"/>
        </w:rPr>
        <w:t xml:space="preserve">s concernés par cette consultation sont réputés </w:t>
      </w:r>
      <w:r w:rsidRPr="00425F6E">
        <w:rPr>
          <w:rFonts w:ascii="Calibri" w:hAnsi="Calibri" w:cs="Calibri"/>
        </w:rPr>
        <w:t xml:space="preserve">à procédure adaptée sans variante. </w:t>
      </w:r>
      <w:r w:rsidR="00422D59" w:rsidRPr="00425F6E">
        <w:rPr>
          <w:rFonts w:ascii="Calibri" w:hAnsi="Calibri" w:cs="Calibri"/>
        </w:rPr>
        <w:t>Il</w:t>
      </w:r>
      <w:r w:rsidR="00E93FD1">
        <w:rPr>
          <w:rFonts w:ascii="Calibri" w:hAnsi="Calibri" w:cs="Calibri"/>
        </w:rPr>
        <w:t>s</w:t>
      </w:r>
      <w:r w:rsidR="00422D59" w:rsidRPr="00425F6E">
        <w:rPr>
          <w:rFonts w:ascii="Calibri" w:hAnsi="Calibri" w:cs="Calibri"/>
        </w:rPr>
        <w:t xml:space="preserve"> </w:t>
      </w:r>
      <w:r w:rsidR="00E93FD1">
        <w:rPr>
          <w:rFonts w:ascii="Calibri" w:hAnsi="Calibri" w:cs="Calibri"/>
        </w:rPr>
        <w:t>sont</w:t>
      </w:r>
      <w:r w:rsidRPr="00425F6E">
        <w:rPr>
          <w:rFonts w:ascii="Calibri" w:hAnsi="Calibri" w:cs="Calibri"/>
        </w:rPr>
        <w:t xml:space="preserve"> soumis aux dispositions des règles générales de passation des marchés.</w:t>
      </w:r>
    </w:p>
    <w:p w:rsidR="003A7816" w:rsidRPr="00425F6E" w:rsidRDefault="000D3DC7" w:rsidP="00E93FD1">
      <w:pPr>
        <w:pStyle w:val="Titre3"/>
      </w:pPr>
      <w:bookmarkStart w:id="3" w:name="_Toc63346213"/>
      <w:r w:rsidRPr="00425F6E">
        <w:t>Article 2.2 :</w:t>
      </w:r>
      <w:r w:rsidR="009F77D2">
        <w:t xml:space="preserve"> quantités prévisionnelles</w:t>
      </w:r>
      <w:bookmarkEnd w:id="3"/>
    </w:p>
    <w:p w:rsidR="003A7816" w:rsidRPr="00425F6E" w:rsidRDefault="000D3DC7">
      <w:pPr>
        <w:pStyle w:val="Standard"/>
        <w:rPr>
          <w:rFonts w:ascii="Calibri" w:hAnsi="Calibri" w:cs="Calibri"/>
        </w:rPr>
      </w:pPr>
      <w:r w:rsidRPr="00425F6E">
        <w:rPr>
          <w:rFonts w:ascii="Calibri" w:hAnsi="Calibri" w:cs="Calibri"/>
        </w:rPr>
        <w:t xml:space="preserve">Les quantités </w:t>
      </w:r>
      <w:r w:rsidR="00E93FD1">
        <w:rPr>
          <w:rFonts w:ascii="Calibri" w:hAnsi="Calibri" w:cs="Calibri"/>
        </w:rPr>
        <w:t xml:space="preserve">indiquées dans chaque BPU </w:t>
      </w:r>
      <w:r w:rsidRPr="00425F6E">
        <w:rPr>
          <w:rFonts w:ascii="Calibri" w:hAnsi="Calibri" w:cs="Calibri"/>
        </w:rPr>
        <w:t>sont données à titre indicatif. Elles peuvent être majorées ou minorées de 15% pour le total d’un marché. Le titulaire ne pourra pas transmettre à un sous-traitant tout ou partie de la fourniture. Les prestations feront l’objet d’un marché à bons de commande selon l</w:t>
      </w:r>
      <w:r w:rsidR="008A46D0">
        <w:rPr>
          <w:rFonts w:ascii="Calibri" w:hAnsi="Calibri" w:cs="Calibri"/>
        </w:rPr>
        <w:t>es dispositions</w:t>
      </w:r>
      <w:r w:rsidRPr="00425F6E">
        <w:rPr>
          <w:rFonts w:ascii="Calibri" w:hAnsi="Calibri" w:cs="Calibri"/>
        </w:rPr>
        <w:t>.</w:t>
      </w:r>
    </w:p>
    <w:p w:rsidR="003A7816" w:rsidRPr="00425F6E" w:rsidRDefault="000D3DC7" w:rsidP="00E93FD1">
      <w:pPr>
        <w:pStyle w:val="Titre3"/>
      </w:pPr>
      <w:bookmarkStart w:id="4" w:name="_Toc63346214"/>
      <w:r w:rsidRPr="00425F6E">
        <w:t>Article 2.</w:t>
      </w:r>
      <w:r w:rsidR="00860677">
        <w:t>3</w:t>
      </w:r>
      <w:r w:rsidRPr="00425F6E">
        <w:t> : durée du marché :</w:t>
      </w:r>
      <w:bookmarkEnd w:id="4"/>
    </w:p>
    <w:p w:rsidR="003A7816" w:rsidRPr="00425F6E" w:rsidRDefault="000D3DC7">
      <w:pPr>
        <w:pStyle w:val="Standard"/>
      </w:pPr>
      <w:r w:rsidRPr="00425F6E">
        <w:rPr>
          <w:rFonts w:ascii="Calibri" w:hAnsi="Calibri" w:cs="Calibri"/>
          <w:u w:val="single"/>
        </w:rPr>
        <w:t>Marché à bons de commande </w:t>
      </w:r>
      <w:r w:rsidRPr="00425F6E">
        <w:rPr>
          <w:rFonts w:ascii="Calibri" w:hAnsi="Calibri" w:cs="Calibri"/>
        </w:rPr>
        <w:t>: Les bons préciseront l’année d’exercice comptable. Le titulaire doit se conformer aux instructions contenues dans les bons de commande car ceux-ci possèdent le caractère contractuel. Les marchés sont passés pour une période de 1</w:t>
      </w:r>
      <w:r w:rsidRPr="00425F6E">
        <w:rPr>
          <w:rFonts w:ascii="Calibri" w:hAnsi="Calibri" w:cs="Calibri"/>
          <w:b/>
        </w:rPr>
        <w:t xml:space="preserve"> </w:t>
      </w:r>
      <w:r w:rsidRPr="00425F6E">
        <w:rPr>
          <w:rFonts w:ascii="Calibri" w:hAnsi="Calibri" w:cs="Calibri"/>
        </w:rPr>
        <w:t>an</w:t>
      </w:r>
      <w:r w:rsidRPr="00425F6E">
        <w:rPr>
          <w:rFonts w:ascii="Calibri" w:hAnsi="Calibri" w:cs="Calibri"/>
          <w:b/>
        </w:rPr>
        <w:t xml:space="preserve"> </w:t>
      </w:r>
      <w:r w:rsidRPr="00425F6E">
        <w:rPr>
          <w:rFonts w:ascii="Calibri" w:hAnsi="Calibri" w:cs="Calibri"/>
        </w:rPr>
        <w:t>avec possibilité de renouvellement deux fois</w:t>
      </w:r>
      <w:r w:rsidR="0062283B">
        <w:rPr>
          <w:rFonts w:ascii="Calibri" w:hAnsi="Calibri" w:cs="Calibri"/>
        </w:rPr>
        <w:t>, sous réserve que les seuils en vigueur le permettent</w:t>
      </w:r>
      <w:r w:rsidRPr="00425F6E">
        <w:rPr>
          <w:rFonts w:ascii="Calibri" w:hAnsi="Calibri" w:cs="Calibri"/>
        </w:rPr>
        <w:t>.</w:t>
      </w:r>
    </w:p>
    <w:p w:rsidR="003A7816" w:rsidRPr="00425F6E" w:rsidRDefault="000D3DC7" w:rsidP="00E93FD1">
      <w:pPr>
        <w:pStyle w:val="Titre3"/>
      </w:pPr>
      <w:bookmarkStart w:id="5" w:name="_Toc63346215"/>
      <w:r w:rsidRPr="00425F6E">
        <w:t>Article 2.</w:t>
      </w:r>
      <w:r w:rsidR="00860677">
        <w:t>4</w:t>
      </w:r>
      <w:r w:rsidRPr="00425F6E">
        <w:t> : mode de règlement du marché :</w:t>
      </w:r>
      <w:bookmarkEnd w:id="5"/>
    </w:p>
    <w:p w:rsidR="003A7816" w:rsidRPr="00425F6E" w:rsidRDefault="000D3DC7">
      <w:pPr>
        <w:pStyle w:val="Standard"/>
      </w:pPr>
      <w:r w:rsidRPr="00425F6E">
        <w:rPr>
          <w:rFonts w:ascii="Calibri" w:hAnsi="Calibri" w:cs="Calibri"/>
        </w:rPr>
        <w:t xml:space="preserve">Le règlement s’effectuera selon les modalités prévues à </w:t>
      </w:r>
      <w:proofErr w:type="gramStart"/>
      <w:r w:rsidRPr="00425F6E">
        <w:rPr>
          <w:rFonts w:ascii="Calibri" w:hAnsi="Calibri" w:cs="Calibri"/>
        </w:rPr>
        <w:t>l’article L2192-1 et suivants</w:t>
      </w:r>
      <w:proofErr w:type="gramEnd"/>
      <w:r w:rsidRPr="00425F6E">
        <w:rPr>
          <w:rFonts w:ascii="Calibri" w:hAnsi="Calibri" w:cs="Calibri"/>
        </w:rPr>
        <w:t xml:space="preserve"> du code de la commande publique. S’agissant d’un marché à </w:t>
      </w:r>
      <w:r w:rsidR="0062283B">
        <w:rPr>
          <w:rFonts w:ascii="Calibri" w:hAnsi="Calibri" w:cs="Calibri"/>
        </w:rPr>
        <w:t xml:space="preserve">bons de </w:t>
      </w:r>
      <w:r w:rsidRPr="00425F6E">
        <w:rPr>
          <w:rFonts w:ascii="Calibri" w:hAnsi="Calibri" w:cs="Calibri"/>
        </w:rPr>
        <w:t>commande</w:t>
      </w:r>
      <w:r w:rsidR="0062283B">
        <w:rPr>
          <w:rFonts w:ascii="Calibri" w:hAnsi="Calibri" w:cs="Calibri"/>
        </w:rPr>
        <w:t>,</w:t>
      </w:r>
      <w:r w:rsidRPr="00425F6E">
        <w:rPr>
          <w:rFonts w:ascii="Calibri" w:hAnsi="Calibri" w:cs="Calibri"/>
        </w:rPr>
        <w:t xml:space="preserve"> il n’est pas versé d’avance forfaitaire. Le paiement interviendra dans un délai de </w:t>
      </w:r>
      <w:r w:rsidRPr="00425F6E">
        <w:rPr>
          <w:rFonts w:ascii="Calibri" w:hAnsi="Calibri" w:cs="Calibri"/>
          <w:b/>
          <w:bCs/>
        </w:rPr>
        <w:t>30 jours</w:t>
      </w:r>
      <w:r w:rsidRPr="00425F6E">
        <w:rPr>
          <w:rFonts w:ascii="Calibri" w:hAnsi="Calibri" w:cs="Calibri"/>
        </w:rPr>
        <w:t xml:space="preserve"> à compter de la </w:t>
      </w:r>
      <w:r w:rsidR="0062283B">
        <w:rPr>
          <w:rFonts w:ascii="Calibri" w:hAnsi="Calibri" w:cs="Calibri"/>
        </w:rPr>
        <w:t xml:space="preserve">dernière des deux dates suivantes : </w:t>
      </w:r>
      <w:r w:rsidR="009F77D2">
        <w:rPr>
          <w:rFonts w:ascii="Calibri" w:hAnsi="Calibri" w:cs="Calibri"/>
        </w:rPr>
        <w:t xml:space="preserve">date de </w:t>
      </w:r>
      <w:r w:rsidRPr="00425F6E">
        <w:rPr>
          <w:rFonts w:ascii="Calibri" w:hAnsi="Calibri" w:cs="Calibri"/>
        </w:rPr>
        <w:t xml:space="preserve">réception de la facture </w:t>
      </w:r>
      <w:r w:rsidR="009F77D2">
        <w:rPr>
          <w:rFonts w:ascii="Calibri" w:hAnsi="Calibri" w:cs="Calibri"/>
        </w:rPr>
        <w:t xml:space="preserve">ou </w:t>
      </w:r>
      <w:r w:rsidR="0062283B">
        <w:rPr>
          <w:rFonts w:ascii="Calibri" w:hAnsi="Calibri" w:cs="Calibri"/>
        </w:rPr>
        <w:t>d</w:t>
      </w:r>
      <w:r w:rsidR="009F77D2">
        <w:rPr>
          <w:rFonts w:ascii="Calibri" w:hAnsi="Calibri" w:cs="Calibri"/>
        </w:rPr>
        <w:t>ate de service fait</w:t>
      </w:r>
      <w:r w:rsidRPr="00425F6E">
        <w:rPr>
          <w:rFonts w:ascii="Calibri" w:hAnsi="Calibri" w:cs="Calibri"/>
        </w:rPr>
        <w:t>.</w:t>
      </w:r>
    </w:p>
    <w:p w:rsidR="003A7816" w:rsidRPr="00425F6E" w:rsidRDefault="000D3DC7" w:rsidP="00E93FD1">
      <w:pPr>
        <w:pStyle w:val="Titre3"/>
      </w:pPr>
      <w:bookmarkStart w:id="6" w:name="_Toc63346216"/>
      <w:r w:rsidRPr="00425F6E">
        <w:t>Article 2.</w:t>
      </w:r>
      <w:r w:rsidR="00860677">
        <w:t>5</w:t>
      </w:r>
      <w:r w:rsidRPr="00425F6E">
        <w:t> : modification de détail au dossier de consultation :</w:t>
      </w:r>
      <w:bookmarkEnd w:id="6"/>
    </w:p>
    <w:p w:rsidR="003A7816" w:rsidRPr="00425F6E" w:rsidRDefault="000D3DC7">
      <w:pPr>
        <w:pStyle w:val="Standard"/>
        <w:rPr>
          <w:rFonts w:ascii="Calibri" w:hAnsi="Calibri" w:cs="Calibri"/>
        </w:rPr>
      </w:pPr>
      <w:r w:rsidRPr="00425F6E">
        <w:rPr>
          <w:rFonts w:ascii="Calibri" w:hAnsi="Calibri" w:cs="Calibri"/>
        </w:rPr>
        <w:t>Le pouvoir adjudicateur se réserve le droit d’apporter au plus tard 15 jours avant la date limite fixée pour la remise des offres, des modifications de détail au dossier de consultation. Les candidats devront alors répondre sur la base du dossier modifié sans pouvoir élever aucune réclamation à ce sujet. Si pendant l’étude du dossier par les candidats, la date limite fixée pour la remise des offres est reportée, la disposition précédente est applicable en fonction de cette nouvelle date.</w:t>
      </w:r>
    </w:p>
    <w:p w:rsidR="003A7816" w:rsidRPr="00425F6E" w:rsidRDefault="000D3DC7" w:rsidP="00E93FD1">
      <w:pPr>
        <w:pStyle w:val="Titre1"/>
      </w:pPr>
      <w:bookmarkStart w:id="7" w:name="_Toc63346217"/>
      <w:r w:rsidRPr="00425F6E">
        <w:lastRenderedPageBreak/>
        <w:t xml:space="preserve">ART 3 : </w:t>
      </w:r>
      <w:r w:rsidR="00422D59" w:rsidRPr="00425F6E">
        <w:t xml:space="preserve">CALENDRIER ET </w:t>
      </w:r>
      <w:r w:rsidRPr="00425F6E">
        <w:t>JUGEMENT DES OFFRES</w:t>
      </w:r>
      <w:bookmarkEnd w:id="7"/>
    </w:p>
    <w:p w:rsidR="00860677" w:rsidRPr="00425F6E" w:rsidRDefault="00860677" w:rsidP="00E93FD1">
      <w:pPr>
        <w:pStyle w:val="Titre3"/>
      </w:pPr>
      <w:bookmarkStart w:id="8" w:name="_Toc63346218"/>
      <w:r w:rsidRPr="00425F6E">
        <w:t xml:space="preserve">Article </w:t>
      </w:r>
      <w:r>
        <w:t>3.1</w:t>
      </w:r>
      <w:r w:rsidRPr="00425F6E">
        <w:t xml:space="preserve"> : </w:t>
      </w:r>
      <w:r>
        <w:t>calendrier</w:t>
      </w:r>
      <w:bookmarkEnd w:id="8"/>
    </w:p>
    <w:p w:rsidR="00860677" w:rsidRPr="00425F6E" w:rsidRDefault="00860677" w:rsidP="00860677">
      <w:pPr>
        <w:pStyle w:val="Standard"/>
      </w:pPr>
      <w:r w:rsidRPr="00425F6E">
        <w:rPr>
          <w:rFonts w:ascii="Calibri" w:hAnsi="Calibri" w:cs="Calibri"/>
        </w:rPr>
        <w:t xml:space="preserve">Date limite de </w:t>
      </w:r>
      <w:r w:rsidR="00093A51">
        <w:rPr>
          <w:rFonts w:ascii="Calibri" w:hAnsi="Calibri" w:cs="Calibri"/>
        </w:rPr>
        <w:t>téléchargement du DCE</w:t>
      </w:r>
      <w:r w:rsidRPr="00425F6E">
        <w:rPr>
          <w:rFonts w:ascii="Calibri" w:hAnsi="Calibri" w:cs="Calibri"/>
        </w:rPr>
        <w:t> </w:t>
      </w:r>
      <w:r w:rsidRPr="00425F6E">
        <w:rPr>
          <w:rFonts w:ascii="Calibri" w:hAnsi="Calibri" w:cs="Calibri"/>
        </w:rPr>
        <w:tab/>
        <w:t xml:space="preserve">: </w:t>
      </w:r>
      <w:r w:rsidR="00601353">
        <w:rPr>
          <w:rFonts w:ascii="Calibri" w:hAnsi="Calibri" w:cs="Calibri"/>
          <w:b/>
        </w:rPr>
        <w:t>9 juillet 2021</w:t>
      </w:r>
      <w:r w:rsidRPr="00425F6E">
        <w:rPr>
          <w:rFonts w:ascii="Calibri" w:hAnsi="Calibri" w:cs="Calibri"/>
          <w:b/>
        </w:rPr>
        <w:t xml:space="preserve"> à 12 :00</w:t>
      </w:r>
    </w:p>
    <w:p w:rsidR="00860677" w:rsidRDefault="00860677" w:rsidP="00860677">
      <w:pPr>
        <w:pStyle w:val="Standard"/>
        <w:rPr>
          <w:rFonts w:ascii="Calibri" w:hAnsi="Calibri" w:cs="Calibri"/>
          <w:b/>
        </w:rPr>
      </w:pPr>
      <w:r w:rsidRPr="00425F6E">
        <w:rPr>
          <w:rFonts w:ascii="Calibri" w:hAnsi="Calibri" w:cs="Calibri"/>
        </w:rPr>
        <w:t>Date limite de recevabilité des offres</w:t>
      </w:r>
      <w:r w:rsidRPr="00425F6E">
        <w:rPr>
          <w:rFonts w:ascii="Calibri" w:hAnsi="Calibri" w:cs="Calibri"/>
        </w:rPr>
        <w:tab/>
        <w:t xml:space="preserve">: </w:t>
      </w:r>
      <w:r w:rsidR="00601353">
        <w:rPr>
          <w:rFonts w:ascii="Calibri" w:hAnsi="Calibri" w:cs="Calibri"/>
          <w:b/>
        </w:rPr>
        <w:t>10 septembre 2021</w:t>
      </w:r>
      <w:r w:rsidRPr="00425F6E">
        <w:rPr>
          <w:rFonts w:ascii="Calibri" w:hAnsi="Calibri" w:cs="Calibri"/>
          <w:b/>
        </w:rPr>
        <w:t xml:space="preserve"> à 12 :00</w:t>
      </w:r>
    </w:p>
    <w:p w:rsidR="006D51E7" w:rsidRPr="006D51E7" w:rsidRDefault="006D51E7" w:rsidP="00860677">
      <w:pPr>
        <w:pStyle w:val="Standard"/>
      </w:pPr>
      <w:r>
        <w:rPr>
          <w:rFonts w:ascii="Calibri" w:hAnsi="Calibri" w:cs="Calibri"/>
        </w:rPr>
        <w:t>Date de réception des échantillons, le cas échéant </w:t>
      </w:r>
      <w:r>
        <w:rPr>
          <w:rFonts w:ascii="Calibri" w:hAnsi="Calibri" w:cs="Calibri"/>
        </w:rPr>
        <w:tab/>
        <w:t xml:space="preserve">: </w:t>
      </w:r>
      <w:r w:rsidRPr="006D51E7">
        <w:rPr>
          <w:rFonts w:ascii="Calibri" w:hAnsi="Calibri" w:cs="Calibri"/>
          <w:b/>
        </w:rPr>
        <w:t>du 8 au 12 novembre</w:t>
      </w:r>
    </w:p>
    <w:p w:rsidR="00860677" w:rsidRPr="00425F6E" w:rsidRDefault="009F77D2" w:rsidP="00860677">
      <w:pPr>
        <w:pStyle w:val="Standard"/>
      </w:pPr>
      <w:r>
        <w:rPr>
          <w:rFonts w:ascii="Calibri" w:hAnsi="Calibri" w:cs="Calibri"/>
        </w:rPr>
        <w:t>Date</w:t>
      </w:r>
      <w:r w:rsidR="00860677" w:rsidRPr="00425F6E">
        <w:rPr>
          <w:rFonts w:ascii="Calibri" w:hAnsi="Calibri" w:cs="Calibri"/>
        </w:rPr>
        <w:t xml:space="preserve"> </w:t>
      </w:r>
      <w:r>
        <w:rPr>
          <w:rFonts w:ascii="Calibri" w:hAnsi="Calibri" w:cs="Calibri"/>
        </w:rPr>
        <w:t xml:space="preserve">limite </w:t>
      </w:r>
      <w:r w:rsidR="00860677" w:rsidRPr="00425F6E">
        <w:rPr>
          <w:rFonts w:ascii="Calibri" w:hAnsi="Calibri" w:cs="Calibri"/>
        </w:rPr>
        <w:t>de validité des offres</w:t>
      </w:r>
      <w:r>
        <w:rPr>
          <w:rFonts w:ascii="Calibri" w:hAnsi="Calibri" w:cs="Calibri"/>
        </w:rPr>
        <w:tab/>
      </w:r>
      <w:r w:rsidR="00860677" w:rsidRPr="00425F6E">
        <w:rPr>
          <w:rFonts w:ascii="Calibri" w:hAnsi="Calibri" w:cs="Calibri"/>
        </w:rPr>
        <w:tab/>
        <w:t xml:space="preserve">: </w:t>
      </w:r>
      <w:r w:rsidR="00601353">
        <w:rPr>
          <w:rFonts w:ascii="Calibri" w:hAnsi="Calibri" w:cs="Calibri"/>
          <w:b/>
        </w:rPr>
        <w:t>31</w:t>
      </w:r>
      <w:r w:rsidR="00093A51">
        <w:rPr>
          <w:rFonts w:ascii="Calibri" w:hAnsi="Calibri" w:cs="Calibri"/>
          <w:b/>
        </w:rPr>
        <w:t xml:space="preserve"> </w:t>
      </w:r>
      <w:r w:rsidR="00601353">
        <w:rPr>
          <w:rFonts w:ascii="Calibri" w:hAnsi="Calibri" w:cs="Calibri"/>
          <w:b/>
        </w:rPr>
        <w:t xml:space="preserve">décembre 2021 </w:t>
      </w:r>
      <w:r w:rsidR="00860677" w:rsidRPr="00425F6E">
        <w:rPr>
          <w:rFonts w:ascii="Calibri" w:hAnsi="Calibri" w:cs="Calibri"/>
          <w:b/>
        </w:rPr>
        <w:t>à 12 :00</w:t>
      </w:r>
    </w:p>
    <w:p w:rsidR="00860677" w:rsidRDefault="00860677">
      <w:pPr>
        <w:pStyle w:val="Standard"/>
        <w:rPr>
          <w:rFonts w:ascii="Calibri" w:hAnsi="Calibri" w:cs="Calibri"/>
        </w:rPr>
      </w:pPr>
    </w:p>
    <w:p w:rsidR="00860677" w:rsidRPr="00425F6E" w:rsidRDefault="00860677" w:rsidP="00E93FD1">
      <w:pPr>
        <w:pStyle w:val="Titre3"/>
      </w:pPr>
      <w:bookmarkStart w:id="9" w:name="_Toc63346219"/>
      <w:r w:rsidRPr="00425F6E">
        <w:t xml:space="preserve">Article </w:t>
      </w:r>
      <w:r>
        <w:t>3.2</w:t>
      </w:r>
      <w:r w:rsidRPr="00425F6E">
        <w:t xml:space="preserve"> : </w:t>
      </w:r>
      <w:r>
        <w:t>critères de jugement</w:t>
      </w:r>
      <w:bookmarkEnd w:id="9"/>
    </w:p>
    <w:p w:rsidR="00601353" w:rsidRDefault="00601353" w:rsidP="00601353">
      <w:pPr>
        <w:ind w:left="426"/>
      </w:pPr>
      <w:r w:rsidRPr="00505189">
        <w:t xml:space="preserve">Le jugement des offres sera effectué dans les conditions prévues aux articles 53 et 59 du code des marchés publics. Les soumissionnaires seront informés à partir du </w:t>
      </w:r>
      <w:r w:rsidR="006D51E7">
        <w:rPr>
          <w:b/>
          <w:u w:val="single"/>
        </w:rPr>
        <w:t>1</w:t>
      </w:r>
      <w:r w:rsidR="006D51E7" w:rsidRPr="006D51E7">
        <w:rPr>
          <w:b/>
          <w:u w:val="single"/>
          <w:vertAlign w:val="superscript"/>
        </w:rPr>
        <w:t>er</w:t>
      </w:r>
      <w:r w:rsidR="006D51E7">
        <w:rPr>
          <w:b/>
          <w:u w:val="single"/>
        </w:rPr>
        <w:t xml:space="preserve"> décembre</w:t>
      </w:r>
      <w:r>
        <w:rPr>
          <w:b/>
          <w:u w:val="single"/>
        </w:rPr>
        <w:t xml:space="preserve"> 2021</w:t>
      </w:r>
      <w:r w:rsidRPr="00505189">
        <w:rPr>
          <w:b/>
          <w:u w:val="single"/>
        </w:rPr>
        <w:t xml:space="preserve"> </w:t>
      </w:r>
      <w:r w:rsidRPr="00505189">
        <w:t xml:space="preserve">de l’acceptation ou du refus de leurs offres, après examen le </w:t>
      </w:r>
      <w:r w:rsidRPr="00E82792">
        <w:rPr>
          <w:b/>
          <w:u w:val="single"/>
        </w:rPr>
        <w:t>mercredi 22 septembre 2021</w:t>
      </w:r>
      <w:r>
        <w:rPr>
          <w:b/>
          <w:u w:val="single"/>
        </w:rPr>
        <w:t xml:space="preserve"> </w:t>
      </w:r>
      <w:r>
        <w:t xml:space="preserve">par la commission d’ouverture des plis </w:t>
      </w:r>
      <w:r w:rsidRPr="001F5CA8">
        <w:t>et</w:t>
      </w:r>
      <w:r>
        <w:t xml:space="preserve"> le </w:t>
      </w:r>
      <w:r w:rsidRPr="00E82792">
        <w:rPr>
          <w:b/>
          <w:u w:val="single"/>
        </w:rPr>
        <w:t xml:space="preserve">mercredi </w:t>
      </w:r>
      <w:r w:rsidR="006D51E7">
        <w:rPr>
          <w:b/>
          <w:u w:val="single"/>
        </w:rPr>
        <w:t>17 novembre</w:t>
      </w:r>
      <w:r w:rsidRPr="00E82792">
        <w:rPr>
          <w:b/>
          <w:u w:val="single"/>
        </w:rPr>
        <w:t xml:space="preserve"> 2021</w:t>
      </w:r>
      <w:r>
        <w:t xml:space="preserve"> par la</w:t>
      </w:r>
      <w:r w:rsidRPr="00505189">
        <w:t xml:space="preserve"> commission de dégustation</w:t>
      </w:r>
      <w:r w:rsidR="0062283B">
        <w:t xml:space="preserve"> </w:t>
      </w:r>
      <w:r>
        <w:t>(*)</w:t>
      </w:r>
      <w:r w:rsidRPr="00505189">
        <w:t>.</w:t>
      </w:r>
    </w:p>
    <w:p w:rsidR="00601353" w:rsidRDefault="00601353" w:rsidP="00601353">
      <w:pPr>
        <w:ind w:left="426"/>
      </w:pPr>
    </w:p>
    <w:p w:rsidR="005D6EF4" w:rsidRDefault="00601353" w:rsidP="00601353">
      <w:pPr>
        <w:ind w:left="426"/>
        <w:rPr>
          <w:rFonts w:asciiTheme="minorHAnsi" w:hAnsiTheme="minorHAnsi" w:cstheme="minorHAnsi"/>
        </w:rPr>
      </w:pPr>
      <w:r w:rsidRPr="00505189">
        <w:rPr>
          <w:rFonts w:asciiTheme="minorHAnsi" w:hAnsiTheme="minorHAnsi" w:cstheme="minorHAnsi"/>
        </w:rPr>
        <w:t xml:space="preserve">Conformément </w:t>
      </w:r>
      <w:r>
        <w:rPr>
          <w:rFonts w:asciiTheme="minorHAnsi" w:hAnsiTheme="minorHAnsi" w:cstheme="minorHAnsi"/>
        </w:rPr>
        <w:t>aux articles R2152-1 et suivants du code de la commande publique</w:t>
      </w:r>
      <w:r w:rsidRPr="00505189">
        <w:rPr>
          <w:rFonts w:asciiTheme="minorHAnsi" w:hAnsiTheme="minorHAnsi" w:cstheme="minorHAnsi"/>
        </w:rPr>
        <w:t>, la commission élimine l’offre des candidats qui n’ont pas qualité pour présenter une offre ou dont les capacités apparaissent insuffisantes, ou qui n’ont pas remi</w:t>
      </w:r>
      <w:r w:rsidR="005D6EF4">
        <w:rPr>
          <w:rFonts w:asciiTheme="minorHAnsi" w:hAnsiTheme="minorHAnsi" w:cstheme="minorHAnsi"/>
        </w:rPr>
        <w:t>s la totalité des échantillons.</w:t>
      </w:r>
    </w:p>
    <w:p w:rsidR="005D6EF4" w:rsidRDefault="005D6EF4" w:rsidP="00601353">
      <w:pPr>
        <w:ind w:left="426"/>
        <w:rPr>
          <w:rFonts w:asciiTheme="minorHAnsi" w:hAnsiTheme="minorHAnsi" w:cstheme="minorHAnsi"/>
        </w:rPr>
      </w:pPr>
    </w:p>
    <w:p w:rsidR="00601353" w:rsidRPr="00505189" w:rsidRDefault="00601353" w:rsidP="00601353">
      <w:pPr>
        <w:ind w:left="426"/>
        <w:rPr>
          <w:rFonts w:asciiTheme="minorHAnsi" w:hAnsiTheme="minorHAnsi" w:cstheme="minorHAnsi"/>
        </w:rPr>
      </w:pPr>
      <w:r w:rsidRPr="00505189">
        <w:rPr>
          <w:rFonts w:asciiTheme="minorHAnsi" w:hAnsiTheme="minorHAnsi" w:cstheme="minorHAnsi"/>
        </w:rPr>
        <w:t xml:space="preserve">Conformément aux articles </w:t>
      </w:r>
      <w:r>
        <w:rPr>
          <w:rFonts w:asciiTheme="minorHAnsi" w:hAnsiTheme="minorHAnsi" w:cstheme="minorHAnsi"/>
        </w:rPr>
        <w:t>L5122-7 et L5122-8 du code de la commande publique</w:t>
      </w:r>
      <w:r w:rsidRPr="00505189">
        <w:rPr>
          <w:rFonts w:asciiTheme="minorHAnsi" w:hAnsiTheme="minorHAnsi" w:cstheme="minorHAnsi"/>
        </w:rPr>
        <w:t>, la commission choisit librement l’offre économiquement la plus avantageuse selon les critères suivants, classés par ordre croissant d’importance :</w:t>
      </w:r>
    </w:p>
    <w:p w:rsidR="00601353" w:rsidRPr="00505189" w:rsidRDefault="00601353" w:rsidP="00601353">
      <w:pPr>
        <w:rPr>
          <w:rFonts w:asciiTheme="minorHAnsi" w:hAnsiTheme="minorHAnsi" w:cstheme="minorHAnsi"/>
        </w:rPr>
      </w:pPr>
    </w:p>
    <w:p w:rsidR="00601353" w:rsidRPr="00505189" w:rsidRDefault="00601353" w:rsidP="00601353">
      <w:pPr>
        <w:pStyle w:val="Paragraphedeliste"/>
        <w:numPr>
          <w:ilvl w:val="0"/>
          <w:numId w:val="22"/>
        </w:numPr>
        <w:tabs>
          <w:tab w:val="clear" w:pos="2127"/>
          <w:tab w:val="clear" w:pos="3261"/>
          <w:tab w:val="clear" w:pos="5671"/>
          <w:tab w:val="clear" w:pos="7797"/>
          <w:tab w:val="left" w:pos="1701"/>
          <w:tab w:val="left" w:pos="2835"/>
          <w:tab w:val="left" w:pos="5245"/>
          <w:tab w:val="left" w:pos="7371"/>
        </w:tabs>
        <w:suppressAutoHyphens w:val="0"/>
        <w:autoSpaceDN/>
        <w:contextualSpacing/>
        <w:textAlignment w:val="auto"/>
        <w:rPr>
          <w:rFonts w:asciiTheme="minorHAnsi" w:hAnsiTheme="minorHAnsi" w:cstheme="minorHAnsi"/>
        </w:rPr>
      </w:pPr>
      <w:r>
        <w:rPr>
          <w:rFonts w:asciiTheme="minorHAnsi" w:hAnsiTheme="minorHAnsi" w:cstheme="minorHAnsi"/>
        </w:rPr>
        <w:t xml:space="preserve">15% - </w:t>
      </w:r>
      <w:r w:rsidRPr="00505189">
        <w:rPr>
          <w:rFonts w:asciiTheme="minorHAnsi" w:hAnsiTheme="minorHAnsi" w:cstheme="minorHAnsi"/>
        </w:rPr>
        <w:t>Capacité d’approvisionnement et de livraison dans les délais et les conditions fixés par la cuisine centrale</w:t>
      </w:r>
    </w:p>
    <w:p w:rsidR="00601353" w:rsidRPr="00E82792" w:rsidRDefault="00601353" w:rsidP="00601353">
      <w:pPr>
        <w:pStyle w:val="Paragraphedeliste"/>
        <w:numPr>
          <w:ilvl w:val="0"/>
          <w:numId w:val="22"/>
        </w:numPr>
        <w:tabs>
          <w:tab w:val="clear" w:pos="2127"/>
          <w:tab w:val="clear" w:pos="3261"/>
          <w:tab w:val="clear" w:pos="5671"/>
          <w:tab w:val="clear" w:pos="7797"/>
          <w:tab w:val="left" w:pos="1701"/>
          <w:tab w:val="left" w:pos="2835"/>
          <w:tab w:val="left" w:pos="5245"/>
          <w:tab w:val="left" w:pos="7371"/>
        </w:tabs>
        <w:suppressAutoHyphens w:val="0"/>
        <w:autoSpaceDN/>
        <w:contextualSpacing/>
        <w:textAlignment w:val="auto"/>
        <w:rPr>
          <w:rFonts w:asciiTheme="minorHAnsi" w:hAnsiTheme="minorHAnsi" w:cstheme="minorHAnsi"/>
          <w:u w:val="single"/>
        </w:rPr>
      </w:pPr>
      <w:r w:rsidRPr="00E82792">
        <w:rPr>
          <w:rFonts w:asciiTheme="minorHAnsi" w:hAnsiTheme="minorHAnsi" w:cstheme="minorHAnsi"/>
        </w:rPr>
        <w:t>35% - Valeur technique et gustative: examen des fiches techniques conformes aux normes demandées pour chaque produit</w:t>
      </w:r>
      <w:r w:rsidR="0062283B">
        <w:rPr>
          <w:rFonts w:asciiTheme="minorHAnsi" w:hAnsiTheme="minorHAnsi" w:cstheme="minorHAnsi"/>
        </w:rPr>
        <w:t xml:space="preserve"> (</w:t>
      </w:r>
      <w:proofErr w:type="spellStart"/>
      <w:r w:rsidR="0062283B">
        <w:rPr>
          <w:rFonts w:asciiTheme="minorHAnsi" w:hAnsiTheme="minorHAnsi" w:cstheme="minorHAnsi"/>
        </w:rPr>
        <w:t>cf</w:t>
      </w:r>
      <w:proofErr w:type="spellEnd"/>
      <w:r w:rsidR="0062283B">
        <w:rPr>
          <w:rFonts w:asciiTheme="minorHAnsi" w:hAnsiTheme="minorHAnsi" w:cstheme="minorHAnsi"/>
        </w:rPr>
        <w:t xml:space="preserve"> BPU)</w:t>
      </w:r>
      <w:r w:rsidRPr="00E82792">
        <w:rPr>
          <w:rFonts w:asciiTheme="minorHAnsi" w:hAnsiTheme="minorHAnsi" w:cstheme="minorHAnsi"/>
        </w:rPr>
        <w:t xml:space="preserve"> et appréciation des échantillons (pour les lots échantillonnés)</w:t>
      </w:r>
    </w:p>
    <w:p w:rsidR="00601353" w:rsidRPr="00505189" w:rsidRDefault="00601353" w:rsidP="00601353">
      <w:pPr>
        <w:pStyle w:val="Paragraphedeliste"/>
        <w:numPr>
          <w:ilvl w:val="0"/>
          <w:numId w:val="22"/>
        </w:numPr>
        <w:tabs>
          <w:tab w:val="clear" w:pos="2127"/>
          <w:tab w:val="clear" w:pos="3261"/>
          <w:tab w:val="clear" w:pos="5671"/>
          <w:tab w:val="clear" w:pos="7797"/>
          <w:tab w:val="left" w:pos="1701"/>
          <w:tab w:val="left" w:pos="2835"/>
          <w:tab w:val="left" w:pos="5245"/>
          <w:tab w:val="left" w:pos="7371"/>
        </w:tabs>
        <w:suppressAutoHyphens w:val="0"/>
        <w:autoSpaceDN/>
        <w:contextualSpacing/>
        <w:textAlignment w:val="auto"/>
        <w:rPr>
          <w:rFonts w:asciiTheme="minorHAnsi" w:hAnsiTheme="minorHAnsi" w:cstheme="minorHAnsi"/>
        </w:rPr>
      </w:pPr>
      <w:r>
        <w:rPr>
          <w:rFonts w:asciiTheme="minorHAnsi" w:hAnsiTheme="minorHAnsi" w:cstheme="minorHAnsi"/>
        </w:rPr>
        <w:t xml:space="preserve">50% - </w:t>
      </w:r>
      <w:r w:rsidRPr="00505189">
        <w:rPr>
          <w:rFonts w:asciiTheme="minorHAnsi" w:hAnsiTheme="minorHAnsi" w:cstheme="minorHAnsi"/>
        </w:rPr>
        <w:t>Prix de la prestation</w:t>
      </w:r>
      <w:r w:rsidR="005D6EF4">
        <w:rPr>
          <w:rFonts w:asciiTheme="minorHAnsi" w:hAnsiTheme="minorHAnsi" w:cstheme="minorHAnsi"/>
        </w:rPr>
        <w:t>, jugé sur le BPU du marché concerné.</w:t>
      </w:r>
    </w:p>
    <w:p w:rsidR="00601353" w:rsidRDefault="00601353" w:rsidP="00601353">
      <w:pPr>
        <w:ind w:left="426"/>
      </w:pPr>
    </w:p>
    <w:p w:rsidR="00601353" w:rsidRDefault="00601353" w:rsidP="00601353">
      <w:pPr>
        <w:tabs>
          <w:tab w:val="left" w:pos="1560"/>
        </w:tabs>
        <w:ind w:left="1560"/>
        <w:jc w:val="right"/>
        <w:rPr>
          <w:rFonts w:asciiTheme="minorHAnsi" w:hAnsiTheme="minorHAnsi" w:cstheme="minorHAnsi"/>
          <w:i/>
        </w:rPr>
      </w:pPr>
      <w:r>
        <w:rPr>
          <w:rFonts w:asciiTheme="minorHAnsi" w:hAnsiTheme="minorHAnsi" w:cstheme="minorHAnsi"/>
          <w:b/>
          <w:i/>
        </w:rPr>
        <w:t>(</w:t>
      </w:r>
      <w:r w:rsidRPr="00505189">
        <w:rPr>
          <w:rFonts w:asciiTheme="minorHAnsi" w:hAnsiTheme="minorHAnsi" w:cstheme="minorHAnsi"/>
          <w:b/>
          <w:i/>
        </w:rPr>
        <w:t>*</w:t>
      </w:r>
      <w:r>
        <w:rPr>
          <w:rFonts w:asciiTheme="minorHAnsi" w:hAnsiTheme="minorHAnsi" w:cstheme="minorHAnsi"/>
          <w:b/>
          <w:i/>
        </w:rPr>
        <w:t>)</w:t>
      </w:r>
      <w:r w:rsidRPr="00505189">
        <w:rPr>
          <w:rFonts w:asciiTheme="minorHAnsi" w:hAnsiTheme="minorHAnsi" w:cstheme="minorHAnsi"/>
          <w:b/>
          <w:i/>
        </w:rPr>
        <w:t> </w:t>
      </w:r>
      <w:r w:rsidRPr="00505189">
        <w:rPr>
          <w:rFonts w:asciiTheme="minorHAnsi" w:hAnsiTheme="minorHAnsi" w:cstheme="minorHAnsi"/>
          <w:i/>
        </w:rPr>
        <w:t>Dans le cadre de l’appréciation des offres, la commission, après ouverture des plis et étude des fiches techniques, se réserve le droit d’échantillonner certains produits qui seront soumis à dégustation. Les candidats concernés seront contactés pour les modalités de livraison des échantillons</w:t>
      </w:r>
    </w:p>
    <w:p w:rsidR="003A7816" w:rsidRPr="00425F6E" w:rsidRDefault="000D3DC7" w:rsidP="00E93FD1">
      <w:pPr>
        <w:pStyle w:val="Titre1"/>
      </w:pPr>
      <w:bookmarkStart w:id="10" w:name="_Toc63346220"/>
      <w:r w:rsidRPr="00425F6E">
        <w:t>ARTICLE 4 : DEMANDE DE DOSSIERS - RENSEIGNEMENTS</w:t>
      </w:r>
      <w:bookmarkEnd w:id="10"/>
    </w:p>
    <w:p w:rsidR="003A7816" w:rsidRPr="00425F6E" w:rsidRDefault="000D3DC7">
      <w:pPr>
        <w:pStyle w:val="Standard"/>
      </w:pPr>
      <w:r w:rsidRPr="00425F6E">
        <w:rPr>
          <w:rFonts w:ascii="Calibri" w:hAnsi="Calibri" w:cs="Calibri"/>
        </w:rPr>
        <w:t xml:space="preserve">Le dossier de consultation </w:t>
      </w:r>
      <w:r w:rsidR="007D56B7">
        <w:rPr>
          <w:rFonts w:ascii="Calibri" w:hAnsi="Calibri" w:cs="Calibri"/>
        </w:rPr>
        <w:t>devra</w:t>
      </w:r>
      <w:r w:rsidRPr="00425F6E">
        <w:rPr>
          <w:rFonts w:ascii="Calibri" w:hAnsi="Calibri" w:cs="Calibri"/>
        </w:rPr>
        <w:t xml:space="preserve"> être téléchargé sur la plate-forme de dématérialisation AJI</w:t>
      </w:r>
      <w:r w:rsidR="00425F6E" w:rsidRPr="00425F6E">
        <w:rPr>
          <w:rFonts w:ascii="Calibri" w:hAnsi="Calibri" w:cs="Calibri"/>
        </w:rPr>
        <w:t xml:space="preserve"> (</w:t>
      </w:r>
      <w:hyperlink r:id="rId11" w:history="1">
        <w:r w:rsidR="00425F6E" w:rsidRPr="00425F6E">
          <w:rPr>
            <w:rStyle w:val="Lienhypertexte"/>
            <w:i/>
            <w:sz w:val="18"/>
          </w:rPr>
          <w:t>https://mapa.aji-france.com/</w:t>
        </w:r>
      </w:hyperlink>
      <w:r w:rsidR="00425F6E" w:rsidRPr="00425F6E">
        <w:t>)</w:t>
      </w:r>
      <w:r w:rsidRPr="00425F6E">
        <w:rPr>
          <w:rFonts w:ascii="Calibri" w:hAnsi="Calibri" w:cs="Calibri"/>
        </w:rPr>
        <w:t>, sous réserve de la création d’un profil « fournisseur » gratuit</w:t>
      </w:r>
      <w:r w:rsidR="007D56B7">
        <w:rPr>
          <w:rFonts w:ascii="Calibri" w:hAnsi="Calibri" w:cs="Calibri"/>
        </w:rPr>
        <w:t xml:space="preserve"> </w:t>
      </w:r>
      <w:r w:rsidRPr="00425F6E">
        <w:rPr>
          <w:rFonts w:ascii="Calibri" w:hAnsi="Calibri" w:cs="Calibri"/>
        </w:rPr>
        <w:t>(</w:t>
      </w:r>
      <w:r w:rsidRPr="007D56B7">
        <w:rPr>
          <w:rFonts w:ascii="Calibri" w:hAnsi="Calibri" w:cs="Calibri"/>
          <w:i/>
        </w:rPr>
        <w:t>Les fournisseurs passant par un prestataire de demande de dossier de candidature doivent être identifiés dans la demande – ex</w:t>
      </w:r>
      <w:r w:rsidR="007D56B7">
        <w:rPr>
          <w:rFonts w:ascii="Calibri" w:hAnsi="Calibri" w:cs="Calibri"/>
          <w:i/>
        </w:rPr>
        <w:t> :</w:t>
      </w:r>
      <w:r w:rsidRPr="007D56B7">
        <w:rPr>
          <w:rFonts w:ascii="Calibri" w:hAnsi="Calibri" w:cs="Calibri"/>
          <w:i/>
        </w:rPr>
        <w:t xml:space="preserve"> « </w:t>
      </w:r>
      <w:proofErr w:type="spellStart"/>
      <w:r w:rsidRPr="007D56B7">
        <w:rPr>
          <w:rFonts w:ascii="Calibri" w:hAnsi="Calibri" w:cs="Calibri"/>
          <w:i/>
        </w:rPr>
        <w:t>wanao</w:t>
      </w:r>
      <w:proofErr w:type="spellEnd"/>
      <w:r w:rsidRPr="007D56B7">
        <w:rPr>
          <w:rFonts w:ascii="Calibri" w:hAnsi="Calibri" w:cs="Calibri"/>
          <w:i/>
        </w:rPr>
        <w:t> » ou « autres » agissant pour la Société X</w:t>
      </w:r>
      <w:r w:rsidRPr="00425F6E">
        <w:rPr>
          <w:rFonts w:ascii="Calibri" w:hAnsi="Calibri" w:cs="Calibri"/>
        </w:rPr>
        <w:t>)</w:t>
      </w:r>
    </w:p>
    <w:p w:rsidR="003A7816" w:rsidRPr="00425F6E" w:rsidRDefault="000D3DC7" w:rsidP="00E93FD1">
      <w:pPr>
        <w:pStyle w:val="Titre1"/>
      </w:pPr>
      <w:bookmarkStart w:id="11" w:name="_Toc63346221"/>
      <w:r w:rsidRPr="00425F6E">
        <w:t>ARTICLE 5 : CONDITIONS D’ENVOI ET DE REMISE DES OFFRES</w:t>
      </w:r>
      <w:bookmarkEnd w:id="11"/>
    </w:p>
    <w:p w:rsidR="003A7816" w:rsidRPr="00425F6E" w:rsidRDefault="000D3DC7">
      <w:pPr>
        <w:pStyle w:val="Standard"/>
        <w:rPr>
          <w:rFonts w:ascii="Calibri" w:hAnsi="Calibri" w:cs="Calibri"/>
        </w:rPr>
      </w:pPr>
      <w:r w:rsidRPr="00425F6E">
        <w:rPr>
          <w:rFonts w:ascii="Calibri" w:hAnsi="Calibri" w:cs="Calibri"/>
        </w:rPr>
        <w:t xml:space="preserve">Elles </w:t>
      </w:r>
      <w:r w:rsidR="007D56B7">
        <w:rPr>
          <w:rFonts w:ascii="Calibri" w:hAnsi="Calibri" w:cs="Calibri"/>
        </w:rPr>
        <w:t>devront</w:t>
      </w:r>
      <w:r w:rsidRPr="00425F6E">
        <w:rPr>
          <w:rFonts w:ascii="Calibri" w:hAnsi="Calibri" w:cs="Calibri"/>
        </w:rPr>
        <w:t xml:space="preserve"> être déposées sur la plate-forme de dématérialisation AJI, sur laquelle tout </w:t>
      </w:r>
      <w:r w:rsidR="009F77D2">
        <w:rPr>
          <w:rFonts w:ascii="Calibri" w:hAnsi="Calibri" w:cs="Calibri"/>
        </w:rPr>
        <w:t>prestataire</w:t>
      </w:r>
      <w:r w:rsidRPr="00425F6E">
        <w:rPr>
          <w:rFonts w:ascii="Calibri" w:hAnsi="Calibri" w:cs="Calibri"/>
        </w:rPr>
        <w:t xml:space="preserve"> pourra créer un profil « fournisseur » gratuit, permettant de télécharger les documents de la consultation, et de déposer son ou ses offres.</w:t>
      </w:r>
    </w:p>
    <w:p w:rsidR="003A7816" w:rsidRPr="00425F6E" w:rsidRDefault="003A7816">
      <w:pPr>
        <w:pStyle w:val="Standard"/>
        <w:rPr>
          <w:rFonts w:ascii="Calibri" w:hAnsi="Calibri" w:cs="Calibri"/>
        </w:rPr>
      </w:pPr>
    </w:p>
    <w:p w:rsidR="003A7816" w:rsidRPr="00425F6E" w:rsidRDefault="000D3DC7">
      <w:pPr>
        <w:pStyle w:val="Standard"/>
        <w:rPr>
          <w:rFonts w:ascii="Calibri" w:hAnsi="Calibri" w:cs="Calibri"/>
        </w:rPr>
      </w:pPr>
      <w:r w:rsidRPr="00425F6E">
        <w:rPr>
          <w:rFonts w:ascii="Calibri" w:hAnsi="Calibri" w:cs="Calibri"/>
        </w:rPr>
        <w:t>Règlement judiciaire :</w:t>
      </w:r>
    </w:p>
    <w:p w:rsidR="003A7816" w:rsidRDefault="000D3DC7">
      <w:pPr>
        <w:pStyle w:val="Standard"/>
        <w:rPr>
          <w:rFonts w:ascii="Calibri" w:hAnsi="Calibri" w:cs="Calibri"/>
        </w:rPr>
      </w:pPr>
      <w:r w:rsidRPr="00425F6E">
        <w:rPr>
          <w:rFonts w:ascii="Calibri" w:hAnsi="Calibri" w:cs="Calibri"/>
        </w:rPr>
        <w:t>Les personnes morales ou physiques, admises au règlement judiciaire doivent justifier qu’elles ont été habilitées à poursuivre leur activité pendant la durée prévisible d’exécution du marché et produire la copie du jugement ou des jugements prononcés à cet effet.</w:t>
      </w:r>
    </w:p>
    <w:p w:rsidR="003A7816" w:rsidRDefault="003A7816">
      <w:pPr>
        <w:pStyle w:val="Standard"/>
        <w:ind w:left="0"/>
        <w:rPr>
          <w:rFonts w:ascii="Calibri" w:hAnsi="Calibri" w:cs="Calibri"/>
        </w:rPr>
      </w:pPr>
    </w:p>
    <w:p w:rsidR="003A7816" w:rsidRDefault="000D3DC7">
      <w:pPr>
        <w:pStyle w:val="Sous-titre"/>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p>
    <w:sectPr w:rsidR="003A7816" w:rsidSect="00375DEF">
      <w:headerReference w:type="default" r:id="rId12"/>
      <w:footerReference w:type="even" r:id="rId13"/>
      <w:footerReference w:type="default" r:id="rId14"/>
      <w:pgSz w:w="11906" w:h="16838"/>
      <w:pgMar w:top="777" w:right="849" w:bottom="777" w:left="1134" w:header="720" w:footer="21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69" w:rsidRDefault="00160669" w:rsidP="00E93FD1">
      <w:r>
        <w:separator/>
      </w:r>
    </w:p>
  </w:endnote>
  <w:endnote w:type="continuationSeparator" w:id="0">
    <w:p w:rsidR="00160669" w:rsidRDefault="00160669" w:rsidP="00E93F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69" w:rsidRDefault="00AF42C0">
    <w:pPr>
      <w:pStyle w:val="Footer"/>
    </w:pPr>
    <w:fldSimple w:instr=" PAGE ">
      <w:r w:rsidR="00160669">
        <w:rPr>
          <w:noProof/>
        </w:rPr>
        <w:t>2</w:t>
      </w:r>
    </w:fldSimple>
  </w:p>
  <w:p w:rsidR="00160669" w:rsidRDefault="00160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69" w:rsidRDefault="00160669" w:rsidP="00375DEF">
    <w:pPr>
      <w:pStyle w:val="Pieddepage"/>
      <w:pBdr>
        <w:top w:val="thinThickSmallGap" w:sz="24" w:space="0" w:color="622423" w:themeColor="accent2" w:themeShade="7F"/>
      </w:pBdr>
      <w:rPr>
        <w:rFonts w:asciiTheme="majorHAnsi" w:hAnsiTheme="majorHAnsi"/>
      </w:rPr>
    </w:pPr>
    <w:r>
      <w:rPr>
        <w:rFonts w:asciiTheme="majorHAnsi" w:hAnsiTheme="majorHAnsi"/>
      </w:rPr>
      <w:t>RC 2022 – LYCEE PERIER – GA CUISINE CENTRALE</w:t>
    </w:r>
    <w:r>
      <w:rPr>
        <w:rFonts w:asciiTheme="majorHAnsi" w:hAnsiTheme="majorHAnsi"/>
      </w:rPr>
      <w:ptab w:relativeTo="margin" w:alignment="right" w:leader="none"/>
    </w:r>
    <w:r>
      <w:rPr>
        <w:rFonts w:asciiTheme="majorHAnsi" w:hAnsiTheme="majorHAnsi"/>
      </w:rPr>
      <w:t xml:space="preserve">Page </w:t>
    </w:r>
    <w:fldSimple w:instr=" PAGE   \* MERGEFORMAT ">
      <w:r w:rsidR="00294F08" w:rsidRPr="00294F08">
        <w:rPr>
          <w:rFonts w:asciiTheme="majorHAnsi" w:hAnsiTheme="majorHAnsi"/>
          <w:noProof/>
        </w:rPr>
        <w:t>3</w:t>
      </w:r>
    </w:fldSimple>
  </w:p>
  <w:p w:rsidR="00160669" w:rsidRDefault="00160669">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69" w:rsidRDefault="00160669" w:rsidP="00E93FD1">
      <w:r w:rsidRPr="003A7816">
        <w:separator/>
      </w:r>
    </w:p>
  </w:footnote>
  <w:footnote w:type="continuationSeparator" w:id="0">
    <w:p w:rsidR="00160669" w:rsidRDefault="00160669" w:rsidP="00E93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56221"/>
      <w:docPartObj>
        <w:docPartGallery w:val="Page Numbers (Top of Page)"/>
        <w:docPartUnique/>
      </w:docPartObj>
    </w:sdtPr>
    <w:sdtContent>
      <w:p w:rsidR="00160669" w:rsidRDefault="00AF42C0" w:rsidP="00375DEF">
        <w:pPr>
          <w:pStyle w:val="En-tte"/>
          <w:jc w:val="right"/>
        </w:pPr>
        <w:fldSimple w:instr=" PAGE   \* MERGEFORMAT ">
          <w:r w:rsidR="00294F08">
            <w:rPr>
              <w:noProof/>
            </w:rPr>
            <w:t>3</w:t>
          </w:r>
        </w:fldSimple>
      </w:p>
    </w:sdtContent>
  </w:sdt>
  <w:p w:rsidR="00160669" w:rsidRDefault="001606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C07"/>
    <w:multiLevelType w:val="multilevel"/>
    <w:tmpl w:val="8A600BC4"/>
    <w:styleLink w:val="WWNum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C618BF"/>
    <w:multiLevelType w:val="hybridMultilevel"/>
    <w:tmpl w:val="0E4E038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07F61247"/>
    <w:multiLevelType w:val="multilevel"/>
    <w:tmpl w:val="DFC89516"/>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1F67E2"/>
    <w:multiLevelType w:val="multilevel"/>
    <w:tmpl w:val="06AC423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0D91640"/>
    <w:multiLevelType w:val="hybridMultilevel"/>
    <w:tmpl w:val="7136BB9E"/>
    <w:lvl w:ilvl="0" w:tplc="3BD24EC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1C559D"/>
    <w:multiLevelType w:val="multilevel"/>
    <w:tmpl w:val="5ED6AE2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780245A"/>
    <w:multiLevelType w:val="multilevel"/>
    <w:tmpl w:val="7D72DB34"/>
    <w:styleLink w:val="WWNum1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BF1062E"/>
    <w:multiLevelType w:val="multilevel"/>
    <w:tmpl w:val="A316216A"/>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EA63125"/>
    <w:multiLevelType w:val="multilevel"/>
    <w:tmpl w:val="09F8CB7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8331F44"/>
    <w:multiLevelType w:val="multilevel"/>
    <w:tmpl w:val="51D4ACE6"/>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4190C07"/>
    <w:multiLevelType w:val="multilevel"/>
    <w:tmpl w:val="5562EDCE"/>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9F1387D"/>
    <w:multiLevelType w:val="multilevel"/>
    <w:tmpl w:val="95FC8440"/>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ACB6C72"/>
    <w:multiLevelType w:val="multilevel"/>
    <w:tmpl w:val="3300CE7A"/>
    <w:styleLink w:val="WWNum7"/>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C83631C"/>
    <w:multiLevelType w:val="multilevel"/>
    <w:tmpl w:val="FC3C4AC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66C0898"/>
    <w:multiLevelType w:val="multilevel"/>
    <w:tmpl w:val="BA4EE23C"/>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77677CB"/>
    <w:multiLevelType w:val="multilevel"/>
    <w:tmpl w:val="D9B44874"/>
    <w:styleLink w:val="WWNum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9412AA9"/>
    <w:multiLevelType w:val="multilevel"/>
    <w:tmpl w:val="BE66DCE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77420148"/>
    <w:multiLevelType w:val="multilevel"/>
    <w:tmpl w:val="BB48623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7F6F0772"/>
    <w:multiLevelType w:val="multilevel"/>
    <w:tmpl w:val="AF444B94"/>
    <w:styleLink w:val="WWNum13"/>
    <w:lvl w:ilvl="0">
      <w:start w:val="1"/>
      <w:numFmt w:val="decimal"/>
      <w:lvlText w:val="%1."/>
      <w:lvlJc w:val="left"/>
    </w:lvl>
    <w:lvl w:ilvl="1">
      <w:numFmt w:val="bullet"/>
      <w:lvlText w:val="-"/>
      <w:lvlJc w:val="left"/>
      <w:rPr>
        <w:rFonts w:eastAsia="Times New Roman"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8"/>
  </w:num>
  <w:num w:numId="2">
    <w:abstractNumId w:val="14"/>
  </w:num>
  <w:num w:numId="3">
    <w:abstractNumId w:val="13"/>
  </w:num>
  <w:num w:numId="4">
    <w:abstractNumId w:val="10"/>
  </w:num>
  <w:num w:numId="5">
    <w:abstractNumId w:val="11"/>
  </w:num>
  <w:num w:numId="6">
    <w:abstractNumId w:val="0"/>
  </w:num>
  <w:num w:numId="7">
    <w:abstractNumId w:val="12"/>
  </w:num>
  <w:num w:numId="8">
    <w:abstractNumId w:val="15"/>
  </w:num>
  <w:num w:numId="9">
    <w:abstractNumId w:val="2"/>
  </w:num>
  <w:num w:numId="10">
    <w:abstractNumId w:val="3"/>
  </w:num>
  <w:num w:numId="11">
    <w:abstractNumId w:val="7"/>
  </w:num>
  <w:num w:numId="12">
    <w:abstractNumId w:val="5"/>
  </w:num>
  <w:num w:numId="13">
    <w:abstractNumId w:val="18"/>
  </w:num>
  <w:num w:numId="14">
    <w:abstractNumId w:val="16"/>
  </w:num>
  <w:num w:numId="15">
    <w:abstractNumId w:val="6"/>
  </w:num>
  <w:num w:numId="16">
    <w:abstractNumId w:val="17"/>
  </w:num>
  <w:num w:numId="17">
    <w:abstractNumId w:val="9"/>
  </w:num>
  <w:num w:numId="18">
    <w:abstractNumId w:val="9"/>
  </w:num>
  <w:num w:numId="19">
    <w:abstractNumId w:val="17"/>
    <w:lvlOverride w:ilvl="0">
      <w:startOverride w:val="1"/>
    </w:lvlOverride>
  </w:num>
  <w:num w:numId="20">
    <w:abstractNumId w:val="6"/>
    <w:lvlOverride w:ilvl="0">
      <w:startOverride w:val="1"/>
    </w:lvlOverride>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3A7816"/>
    <w:rsid w:val="00093A51"/>
    <w:rsid w:val="000D3DC7"/>
    <w:rsid w:val="00160669"/>
    <w:rsid w:val="0025740E"/>
    <w:rsid w:val="00294F08"/>
    <w:rsid w:val="003237B5"/>
    <w:rsid w:val="003644FD"/>
    <w:rsid w:val="00375DEF"/>
    <w:rsid w:val="003A7816"/>
    <w:rsid w:val="003F2746"/>
    <w:rsid w:val="00422D59"/>
    <w:rsid w:val="00425F6E"/>
    <w:rsid w:val="00432AD5"/>
    <w:rsid w:val="004A5247"/>
    <w:rsid w:val="004D67BB"/>
    <w:rsid w:val="005548C7"/>
    <w:rsid w:val="00557E4C"/>
    <w:rsid w:val="005D6EF4"/>
    <w:rsid w:val="00601353"/>
    <w:rsid w:val="0062283B"/>
    <w:rsid w:val="006A5796"/>
    <w:rsid w:val="006D51E7"/>
    <w:rsid w:val="006E6902"/>
    <w:rsid w:val="00711F69"/>
    <w:rsid w:val="007D56B7"/>
    <w:rsid w:val="00860677"/>
    <w:rsid w:val="008A46D0"/>
    <w:rsid w:val="008B70B0"/>
    <w:rsid w:val="008E420A"/>
    <w:rsid w:val="00932D0F"/>
    <w:rsid w:val="0097525E"/>
    <w:rsid w:val="009F77D2"/>
    <w:rsid w:val="00AA7716"/>
    <w:rsid w:val="00AF42C0"/>
    <w:rsid w:val="00DA12D7"/>
    <w:rsid w:val="00E93FD1"/>
    <w:rsid w:val="00EA7B89"/>
    <w:rsid w:val="00EC1A53"/>
    <w:rsid w:val="00F32306"/>
    <w:rsid w:val="00FB0F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53"/>
    <w:pPr>
      <w:jc w:val="both"/>
    </w:pPr>
    <w:rPr>
      <w:rFonts w:ascii="Calibri" w:hAnsi="Calibri"/>
    </w:rPr>
  </w:style>
  <w:style w:type="paragraph" w:styleId="Titre1">
    <w:name w:val="heading 1"/>
    <w:basedOn w:val="Normal"/>
    <w:next w:val="Normal"/>
    <w:link w:val="Titre1Car"/>
    <w:uiPriority w:val="9"/>
    <w:qFormat/>
    <w:rsid w:val="00375DEF"/>
    <w:pPr>
      <w:keepNext/>
      <w:keepLines/>
      <w:spacing w:before="480"/>
      <w:outlineLvl w:val="0"/>
    </w:pPr>
    <w:rPr>
      <w:rFonts w:eastAsiaTheme="majorEastAsia" w:cstheme="majorBidi"/>
      <w:b/>
      <w:bCs/>
      <w:color w:val="943634" w:themeColor="accent2" w:themeShade="BF"/>
      <w:sz w:val="28"/>
      <w:szCs w:val="28"/>
    </w:rPr>
  </w:style>
  <w:style w:type="paragraph" w:styleId="Titre2">
    <w:name w:val="heading 2"/>
    <w:basedOn w:val="Normal"/>
    <w:next w:val="Normal"/>
    <w:link w:val="Titre2Car"/>
    <w:uiPriority w:val="9"/>
    <w:unhideWhenUsed/>
    <w:qFormat/>
    <w:rsid w:val="00093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75DEF"/>
    <w:pPr>
      <w:keepNext/>
      <w:keepLines/>
      <w:spacing w:before="200"/>
      <w:outlineLvl w:val="2"/>
    </w:pPr>
    <w:rPr>
      <w:rFonts w:asciiTheme="majorHAnsi" w:eastAsiaTheme="majorEastAsia" w:hAnsiTheme="majorHAnsi" w:cstheme="majorBidi"/>
      <w:b/>
      <w:bCs/>
      <w:color w:val="943634" w:themeColor="accent2" w:themeShade="BF"/>
    </w:rPr>
  </w:style>
  <w:style w:type="paragraph" w:styleId="Titre4">
    <w:name w:val="heading 4"/>
    <w:basedOn w:val="Normal"/>
    <w:next w:val="Normal"/>
    <w:link w:val="Titre4Car"/>
    <w:uiPriority w:val="9"/>
    <w:unhideWhenUsed/>
    <w:qFormat/>
    <w:rsid w:val="00093A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7816"/>
    <w:pPr>
      <w:widowControl/>
      <w:tabs>
        <w:tab w:val="left" w:pos="2127"/>
        <w:tab w:val="left" w:pos="3261"/>
        <w:tab w:val="left" w:pos="5671"/>
        <w:tab w:val="left" w:pos="7797"/>
      </w:tabs>
      <w:ind w:left="426" w:right="140"/>
      <w:jc w:val="both"/>
    </w:pPr>
    <w:rPr>
      <w:rFonts w:ascii="Arial" w:hAnsi="Arial" w:cs="Arial"/>
      <w:lang w:eastAsia="zh-CN"/>
    </w:rPr>
  </w:style>
  <w:style w:type="paragraph" w:customStyle="1" w:styleId="Heading">
    <w:name w:val="Heading"/>
    <w:basedOn w:val="Standard"/>
    <w:next w:val="Textbody"/>
    <w:rsid w:val="003A7816"/>
    <w:pPr>
      <w:keepNext/>
      <w:spacing w:before="240" w:after="120"/>
    </w:pPr>
    <w:rPr>
      <w:rFonts w:eastAsia="Microsoft YaHei" w:cs="Lucida Sans"/>
      <w:sz w:val="28"/>
      <w:szCs w:val="28"/>
    </w:rPr>
  </w:style>
  <w:style w:type="paragraph" w:customStyle="1" w:styleId="Textbody">
    <w:name w:val="Text body"/>
    <w:basedOn w:val="Standard"/>
    <w:rsid w:val="003A7816"/>
    <w:pPr>
      <w:tabs>
        <w:tab w:val="clear" w:pos="2127"/>
        <w:tab w:val="clear" w:pos="3261"/>
        <w:tab w:val="clear" w:pos="5671"/>
        <w:tab w:val="clear" w:pos="7797"/>
        <w:tab w:val="left" w:pos="993"/>
      </w:tabs>
    </w:pPr>
    <w:rPr>
      <w:sz w:val="24"/>
      <w:szCs w:val="24"/>
    </w:rPr>
  </w:style>
  <w:style w:type="paragraph" w:styleId="Liste">
    <w:name w:val="List"/>
    <w:basedOn w:val="Textbody"/>
    <w:rsid w:val="003A7816"/>
    <w:rPr>
      <w:rFonts w:cs="Lucida Sans"/>
    </w:rPr>
  </w:style>
  <w:style w:type="paragraph" w:customStyle="1" w:styleId="Caption">
    <w:name w:val="Caption"/>
    <w:basedOn w:val="Standard"/>
    <w:rsid w:val="003A7816"/>
    <w:pPr>
      <w:suppressLineNumbers/>
      <w:spacing w:before="120" w:after="120"/>
    </w:pPr>
    <w:rPr>
      <w:rFonts w:cs="Lucida Sans"/>
      <w:i/>
      <w:iCs/>
      <w:sz w:val="24"/>
      <w:szCs w:val="24"/>
    </w:rPr>
  </w:style>
  <w:style w:type="paragraph" w:customStyle="1" w:styleId="Index">
    <w:name w:val="Index"/>
    <w:basedOn w:val="Standard"/>
    <w:rsid w:val="003A7816"/>
    <w:pPr>
      <w:suppressLineNumbers/>
    </w:pPr>
    <w:rPr>
      <w:rFonts w:cs="Lucida Sans"/>
    </w:rPr>
  </w:style>
  <w:style w:type="paragraph" w:customStyle="1" w:styleId="Heading1">
    <w:name w:val="Heading 1"/>
    <w:basedOn w:val="Standard"/>
    <w:next w:val="Textbody"/>
    <w:rsid w:val="003A7816"/>
    <w:pPr>
      <w:keepNext/>
      <w:jc w:val="center"/>
      <w:outlineLvl w:val="0"/>
    </w:pPr>
    <w:rPr>
      <w:sz w:val="24"/>
      <w:szCs w:val="24"/>
    </w:rPr>
  </w:style>
  <w:style w:type="paragraph" w:customStyle="1" w:styleId="Heading2">
    <w:name w:val="Heading 2"/>
    <w:basedOn w:val="Standard"/>
    <w:next w:val="Textbody"/>
    <w:rsid w:val="003A7816"/>
    <w:pPr>
      <w:keepNext/>
      <w:pBdr>
        <w:top w:val="single" w:sz="4" w:space="0" w:color="00000A"/>
        <w:left w:val="single" w:sz="4" w:space="0" w:color="00000A"/>
        <w:bottom w:val="single" w:sz="4" w:space="0" w:color="00000A"/>
        <w:right w:val="single" w:sz="4" w:space="0" w:color="00000A"/>
      </w:pBdr>
      <w:jc w:val="center"/>
      <w:outlineLvl w:val="1"/>
    </w:pPr>
    <w:rPr>
      <w:b/>
      <w:bCs/>
      <w:sz w:val="24"/>
      <w:szCs w:val="24"/>
    </w:rPr>
  </w:style>
  <w:style w:type="paragraph" w:customStyle="1" w:styleId="Heading3">
    <w:name w:val="Heading 3"/>
    <w:basedOn w:val="Standard"/>
    <w:next w:val="Textbody"/>
    <w:rsid w:val="003A7816"/>
    <w:pPr>
      <w:keepNext/>
      <w:outlineLvl w:val="2"/>
    </w:pPr>
    <w:rPr>
      <w:b/>
      <w:bCs/>
      <w:sz w:val="24"/>
      <w:szCs w:val="24"/>
    </w:rPr>
  </w:style>
  <w:style w:type="paragraph" w:customStyle="1" w:styleId="Heading4">
    <w:name w:val="Heading 4"/>
    <w:basedOn w:val="Standard"/>
    <w:next w:val="Textbody"/>
    <w:rsid w:val="003A7816"/>
    <w:pPr>
      <w:keepNext/>
      <w:jc w:val="center"/>
      <w:outlineLvl w:val="3"/>
    </w:pPr>
    <w:rPr>
      <w:b/>
      <w:bCs/>
      <w:sz w:val="24"/>
      <w:szCs w:val="24"/>
    </w:rPr>
  </w:style>
  <w:style w:type="paragraph" w:customStyle="1" w:styleId="Heading5">
    <w:name w:val="Heading 5"/>
    <w:basedOn w:val="Standard"/>
    <w:next w:val="Textbody"/>
    <w:rsid w:val="003A7816"/>
    <w:pPr>
      <w:keepNext/>
      <w:spacing w:after="240"/>
      <w:jc w:val="center"/>
      <w:outlineLvl w:val="4"/>
    </w:pPr>
    <w:rPr>
      <w:b/>
      <w:bCs/>
      <w:caps/>
      <w:sz w:val="24"/>
    </w:rPr>
  </w:style>
  <w:style w:type="paragraph" w:customStyle="1" w:styleId="Heading6">
    <w:name w:val="Heading 6"/>
    <w:basedOn w:val="Standard"/>
    <w:next w:val="Textbody"/>
    <w:rsid w:val="003A7816"/>
    <w:pPr>
      <w:keepNext/>
      <w:outlineLvl w:val="5"/>
    </w:pPr>
    <w:rPr>
      <w:b/>
      <w:bCs/>
      <w:u w:val="single"/>
    </w:rPr>
  </w:style>
  <w:style w:type="paragraph" w:customStyle="1" w:styleId="Heading7">
    <w:name w:val="Heading 7"/>
    <w:basedOn w:val="Standard"/>
    <w:next w:val="Textbody"/>
    <w:rsid w:val="003A7816"/>
    <w:pPr>
      <w:keepNext/>
      <w:tabs>
        <w:tab w:val="clear" w:pos="2127"/>
        <w:tab w:val="clear" w:pos="3261"/>
        <w:tab w:val="clear" w:pos="5671"/>
        <w:tab w:val="clear" w:pos="7797"/>
        <w:tab w:val="left" w:pos="7656"/>
      </w:tabs>
      <w:outlineLvl w:val="6"/>
    </w:pPr>
    <w:rPr>
      <w:sz w:val="24"/>
      <w:szCs w:val="24"/>
    </w:rPr>
  </w:style>
  <w:style w:type="paragraph" w:customStyle="1" w:styleId="Heading8">
    <w:name w:val="Heading 8"/>
    <w:basedOn w:val="Standard"/>
    <w:next w:val="Textbody"/>
    <w:rsid w:val="003A7816"/>
    <w:pPr>
      <w:keepNext/>
      <w:pBdr>
        <w:top w:val="single" w:sz="4" w:space="0" w:color="00000A"/>
        <w:left w:val="single" w:sz="4" w:space="0" w:color="00000A"/>
        <w:bottom w:val="single" w:sz="4" w:space="0" w:color="00000A"/>
        <w:right w:val="single" w:sz="4" w:space="0" w:color="00000A"/>
      </w:pBdr>
      <w:outlineLvl w:val="7"/>
    </w:pPr>
    <w:rPr>
      <w:sz w:val="24"/>
      <w:szCs w:val="24"/>
    </w:rPr>
  </w:style>
  <w:style w:type="paragraph" w:customStyle="1" w:styleId="Heading9">
    <w:name w:val="Heading 9"/>
    <w:basedOn w:val="Standard"/>
    <w:next w:val="Textbody"/>
    <w:rsid w:val="003A7816"/>
    <w:pPr>
      <w:keepNext/>
      <w:outlineLvl w:val="8"/>
    </w:pPr>
    <w:rPr>
      <w:b/>
      <w:bCs/>
      <w:sz w:val="23"/>
      <w:szCs w:val="23"/>
      <w:u w:val="single"/>
    </w:rPr>
  </w:style>
  <w:style w:type="paragraph" w:customStyle="1" w:styleId="Header">
    <w:name w:val="Header"/>
    <w:basedOn w:val="Standard"/>
    <w:rsid w:val="003A7816"/>
    <w:pPr>
      <w:suppressLineNumbers/>
      <w:tabs>
        <w:tab w:val="clear" w:pos="2127"/>
        <w:tab w:val="clear" w:pos="3261"/>
        <w:tab w:val="clear" w:pos="5671"/>
        <w:tab w:val="clear" w:pos="7797"/>
        <w:tab w:val="center" w:pos="4962"/>
        <w:tab w:val="right" w:pos="9498"/>
      </w:tabs>
    </w:pPr>
  </w:style>
  <w:style w:type="paragraph" w:customStyle="1" w:styleId="Footer">
    <w:name w:val="Footer"/>
    <w:basedOn w:val="Standard"/>
    <w:rsid w:val="003A7816"/>
    <w:pPr>
      <w:suppressLineNumbers/>
      <w:tabs>
        <w:tab w:val="clear" w:pos="2127"/>
        <w:tab w:val="clear" w:pos="3261"/>
        <w:tab w:val="clear" w:pos="5671"/>
        <w:tab w:val="clear" w:pos="7797"/>
        <w:tab w:val="center" w:pos="4962"/>
        <w:tab w:val="right" w:pos="9498"/>
      </w:tabs>
    </w:pPr>
  </w:style>
  <w:style w:type="paragraph" w:styleId="Corpsdetexte2">
    <w:name w:val="Body Text 2"/>
    <w:basedOn w:val="Standard"/>
    <w:rsid w:val="003A7816"/>
    <w:pPr>
      <w:tabs>
        <w:tab w:val="clear" w:pos="2127"/>
        <w:tab w:val="clear" w:pos="3261"/>
        <w:tab w:val="clear" w:pos="5671"/>
        <w:tab w:val="clear" w:pos="7797"/>
        <w:tab w:val="left" w:pos="993"/>
      </w:tabs>
    </w:pPr>
    <w:rPr>
      <w:sz w:val="24"/>
      <w:szCs w:val="24"/>
    </w:rPr>
  </w:style>
  <w:style w:type="paragraph" w:styleId="Corpsdetexte3">
    <w:name w:val="Body Text 3"/>
    <w:basedOn w:val="Standard"/>
    <w:rsid w:val="003A7816"/>
    <w:pPr>
      <w:tabs>
        <w:tab w:val="clear" w:pos="2127"/>
        <w:tab w:val="clear" w:pos="3261"/>
        <w:tab w:val="clear" w:pos="5671"/>
        <w:tab w:val="clear" w:pos="7797"/>
        <w:tab w:val="left" w:pos="993"/>
      </w:tabs>
      <w:jc w:val="center"/>
    </w:pPr>
    <w:rPr>
      <w:b/>
      <w:bCs/>
      <w:sz w:val="24"/>
      <w:szCs w:val="24"/>
    </w:rPr>
  </w:style>
  <w:style w:type="paragraph" w:styleId="Titre">
    <w:name w:val="Title"/>
    <w:basedOn w:val="Standard"/>
    <w:next w:val="Sous-titre"/>
    <w:rsid w:val="003A7816"/>
    <w:pPr>
      <w:jc w:val="center"/>
    </w:pPr>
    <w:rPr>
      <w:b/>
      <w:bCs/>
      <w:sz w:val="36"/>
      <w:szCs w:val="36"/>
      <w:lang w:eastAsia="fr-FR"/>
    </w:rPr>
  </w:style>
  <w:style w:type="paragraph" w:styleId="Sous-titre">
    <w:name w:val="Subtitle"/>
    <w:basedOn w:val="Standard"/>
    <w:next w:val="Textbody"/>
    <w:rsid w:val="003A7816"/>
    <w:pPr>
      <w:jc w:val="left"/>
    </w:pPr>
    <w:rPr>
      <w:b/>
      <w:bCs/>
      <w:i/>
      <w:iCs/>
      <w:sz w:val="28"/>
      <w:szCs w:val="28"/>
      <w:lang w:eastAsia="fr-FR"/>
    </w:rPr>
  </w:style>
  <w:style w:type="paragraph" w:styleId="Textedebulles">
    <w:name w:val="Balloon Text"/>
    <w:basedOn w:val="Standard"/>
    <w:rsid w:val="003A7816"/>
    <w:rPr>
      <w:rFonts w:ascii="Tahoma" w:hAnsi="Tahoma" w:cs="Tahoma"/>
      <w:sz w:val="16"/>
      <w:szCs w:val="16"/>
    </w:rPr>
  </w:style>
  <w:style w:type="paragraph" w:styleId="Listepuces">
    <w:name w:val="List Bullet"/>
    <w:basedOn w:val="Standard"/>
    <w:rsid w:val="003A7816"/>
  </w:style>
  <w:style w:type="paragraph" w:styleId="Paragraphedeliste">
    <w:name w:val="List Paragraph"/>
    <w:basedOn w:val="Standard"/>
    <w:uiPriority w:val="34"/>
    <w:qFormat/>
    <w:rsid w:val="003A7816"/>
    <w:pPr>
      <w:ind w:left="720"/>
    </w:pPr>
  </w:style>
  <w:style w:type="paragraph" w:customStyle="1" w:styleId="ContentsHeading">
    <w:name w:val="Contents Heading"/>
    <w:basedOn w:val="Heading1"/>
    <w:rsid w:val="003A7816"/>
    <w:pPr>
      <w:keepLines/>
      <w:suppressLineNumbers/>
      <w:tabs>
        <w:tab w:val="clear" w:pos="2127"/>
        <w:tab w:val="clear" w:pos="3261"/>
        <w:tab w:val="clear" w:pos="5671"/>
        <w:tab w:val="clear" w:pos="7797"/>
      </w:tabs>
      <w:spacing w:before="480" w:line="276" w:lineRule="auto"/>
      <w:ind w:left="0" w:right="0"/>
      <w:jc w:val="left"/>
    </w:pPr>
    <w:rPr>
      <w:rFonts w:ascii="Cambria" w:hAnsi="Cambria"/>
      <w:b/>
      <w:bCs/>
      <w:color w:val="9D3511"/>
      <w:sz w:val="28"/>
      <w:szCs w:val="28"/>
      <w:lang w:eastAsia="en-US"/>
    </w:rPr>
  </w:style>
  <w:style w:type="paragraph" w:customStyle="1" w:styleId="Contents2">
    <w:name w:val="Contents 2"/>
    <w:basedOn w:val="Standard"/>
    <w:rsid w:val="003A7816"/>
    <w:pPr>
      <w:tabs>
        <w:tab w:val="clear" w:pos="2127"/>
        <w:tab w:val="clear" w:pos="3261"/>
        <w:tab w:val="clear" w:pos="5671"/>
        <w:tab w:val="clear" w:pos="7797"/>
      </w:tabs>
      <w:spacing w:after="100" w:line="276" w:lineRule="auto"/>
      <w:ind w:left="220" w:right="0"/>
      <w:jc w:val="left"/>
    </w:pPr>
    <w:rPr>
      <w:rFonts w:ascii="Calibri" w:hAnsi="Calibri"/>
      <w:sz w:val="22"/>
      <w:szCs w:val="22"/>
      <w:lang w:eastAsia="en-US"/>
    </w:rPr>
  </w:style>
  <w:style w:type="paragraph" w:customStyle="1" w:styleId="Contents1">
    <w:name w:val="Contents 1"/>
    <w:basedOn w:val="Standard"/>
    <w:rsid w:val="003A7816"/>
    <w:pPr>
      <w:tabs>
        <w:tab w:val="clear" w:pos="2127"/>
        <w:tab w:val="clear" w:pos="3261"/>
        <w:tab w:val="clear" w:pos="5671"/>
        <w:tab w:val="clear" w:pos="7797"/>
      </w:tabs>
      <w:spacing w:after="100" w:line="276" w:lineRule="auto"/>
      <w:ind w:left="0" w:right="0"/>
      <w:jc w:val="left"/>
    </w:pPr>
    <w:rPr>
      <w:rFonts w:ascii="Calibri" w:hAnsi="Calibri"/>
      <w:sz w:val="22"/>
      <w:szCs w:val="22"/>
      <w:lang w:eastAsia="en-US"/>
    </w:rPr>
  </w:style>
  <w:style w:type="paragraph" w:customStyle="1" w:styleId="Contents3">
    <w:name w:val="Contents 3"/>
    <w:basedOn w:val="Standard"/>
    <w:rsid w:val="003A7816"/>
    <w:pPr>
      <w:tabs>
        <w:tab w:val="clear" w:pos="2127"/>
        <w:tab w:val="clear" w:pos="3261"/>
        <w:tab w:val="clear" w:pos="5671"/>
        <w:tab w:val="clear" w:pos="7797"/>
      </w:tabs>
      <w:spacing w:after="100" w:line="276" w:lineRule="auto"/>
      <w:ind w:left="440" w:right="0"/>
      <w:jc w:val="left"/>
    </w:pPr>
    <w:rPr>
      <w:rFonts w:ascii="Calibri" w:hAnsi="Calibri"/>
      <w:sz w:val="22"/>
      <w:szCs w:val="22"/>
      <w:lang w:eastAsia="en-US"/>
    </w:rPr>
  </w:style>
  <w:style w:type="paragraph" w:customStyle="1" w:styleId="TableContents">
    <w:name w:val="Table Contents"/>
    <w:basedOn w:val="Standard"/>
    <w:rsid w:val="003A7816"/>
    <w:pPr>
      <w:suppressLineNumbers/>
    </w:pPr>
  </w:style>
  <w:style w:type="character" w:styleId="Numrodepage">
    <w:name w:val="page number"/>
    <w:basedOn w:val="Policepardfaut"/>
    <w:rsid w:val="003A7816"/>
  </w:style>
  <w:style w:type="character" w:customStyle="1" w:styleId="Internetlink">
    <w:name w:val="Internet link"/>
    <w:basedOn w:val="Policepardfaut"/>
    <w:rsid w:val="003A7816"/>
    <w:rPr>
      <w:color w:val="0000FF"/>
      <w:u w:val="single"/>
    </w:rPr>
  </w:style>
  <w:style w:type="character" w:styleId="Lienhypertextesuivivisit">
    <w:name w:val="FollowedHyperlink"/>
    <w:basedOn w:val="Policepardfaut"/>
    <w:rsid w:val="003A7816"/>
    <w:rPr>
      <w:color w:val="800080"/>
      <w:u w:val="single"/>
    </w:rPr>
  </w:style>
  <w:style w:type="character" w:customStyle="1" w:styleId="En-tteCar">
    <w:name w:val="En-tête Car"/>
    <w:basedOn w:val="Policepardfaut"/>
    <w:uiPriority w:val="99"/>
    <w:rsid w:val="003A7816"/>
    <w:rPr>
      <w:lang w:eastAsia="zh-CN"/>
    </w:rPr>
  </w:style>
  <w:style w:type="character" w:customStyle="1" w:styleId="ListLabel1">
    <w:name w:val="ListLabel 1"/>
    <w:rsid w:val="003A7816"/>
    <w:rPr>
      <w:b/>
    </w:rPr>
  </w:style>
  <w:style w:type="character" w:customStyle="1" w:styleId="ListLabel2">
    <w:name w:val="ListLabel 2"/>
    <w:rsid w:val="003A7816"/>
    <w:rPr>
      <w:rFonts w:cs="Courier New"/>
    </w:rPr>
  </w:style>
  <w:style w:type="character" w:customStyle="1" w:styleId="ListLabel3">
    <w:name w:val="ListLabel 3"/>
    <w:rsid w:val="003A7816"/>
    <w:rPr>
      <w:rFonts w:eastAsia="Times New Roman" w:cs="Arial"/>
    </w:rPr>
  </w:style>
  <w:style w:type="character" w:customStyle="1" w:styleId="ListLabel4">
    <w:name w:val="ListLabel 4"/>
    <w:rsid w:val="003A7816"/>
    <w:rPr>
      <w:b w:val="0"/>
    </w:rPr>
  </w:style>
  <w:style w:type="numbering" w:customStyle="1" w:styleId="WWNum1">
    <w:name w:val="WWNum1"/>
    <w:basedOn w:val="Aucuneliste"/>
    <w:rsid w:val="003A7816"/>
    <w:pPr>
      <w:numPr>
        <w:numId w:val="1"/>
      </w:numPr>
    </w:pPr>
  </w:style>
  <w:style w:type="numbering" w:customStyle="1" w:styleId="WWNum2">
    <w:name w:val="WWNum2"/>
    <w:basedOn w:val="Aucuneliste"/>
    <w:rsid w:val="003A7816"/>
    <w:pPr>
      <w:numPr>
        <w:numId w:val="2"/>
      </w:numPr>
    </w:pPr>
  </w:style>
  <w:style w:type="numbering" w:customStyle="1" w:styleId="WWNum3">
    <w:name w:val="WWNum3"/>
    <w:basedOn w:val="Aucuneliste"/>
    <w:rsid w:val="003A7816"/>
    <w:pPr>
      <w:numPr>
        <w:numId w:val="3"/>
      </w:numPr>
    </w:pPr>
  </w:style>
  <w:style w:type="numbering" w:customStyle="1" w:styleId="WWNum4">
    <w:name w:val="WWNum4"/>
    <w:basedOn w:val="Aucuneliste"/>
    <w:rsid w:val="003A7816"/>
    <w:pPr>
      <w:numPr>
        <w:numId w:val="4"/>
      </w:numPr>
    </w:pPr>
  </w:style>
  <w:style w:type="numbering" w:customStyle="1" w:styleId="WWNum5">
    <w:name w:val="WWNum5"/>
    <w:basedOn w:val="Aucuneliste"/>
    <w:rsid w:val="003A7816"/>
    <w:pPr>
      <w:numPr>
        <w:numId w:val="5"/>
      </w:numPr>
    </w:pPr>
  </w:style>
  <w:style w:type="numbering" w:customStyle="1" w:styleId="WWNum6">
    <w:name w:val="WWNum6"/>
    <w:basedOn w:val="Aucuneliste"/>
    <w:rsid w:val="003A7816"/>
    <w:pPr>
      <w:numPr>
        <w:numId w:val="6"/>
      </w:numPr>
    </w:pPr>
  </w:style>
  <w:style w:type="numbering" w:customStyle="1" w:styleId="WWNum7">
    <w:name w:val="WWNum7"/>
    <w:basedOn w:val="Aucuneliste"/>
    <w:rsid w:val="003A7816"/>
    <w:pPr>
      <w:numPr>
        <w:numId w:val="7"/>
      </w:numPr>
    </w:pPr>
  </w:style>
  <w:style w:type="numbering" w:customStyle="1" w:styleId="WWNum8">
    <w:name w:val="WWNum8"/>
    <w:basedOn w:val="Aucuneliste"/>
    <w:rsid w:val="003A7816"/>
    <w:pPr>
      <w:numPr>
        <w:numId w:val="8"/>
      </w:numPr>
    </w:pPr>
  </w:style>
  <w:style w:type="numbering" w:customStyle="1" w:styleId="WWNum9">
    <w:name w:val="WWNum9"/>
    <w:basedOn w:val="Aucuneliste"/>
    <w:rsid w:val="003A7816"/>
    <w:pPr>
      <w:numPr>
        <w:numId w:val="9"/>
      </w:numPr>
    </w:pPr>
  </w:style>
  <w:style w:type="numbering" w:customStyle="1" w:styleId="WWNum10">
    <w:name w:val="WWNum10"/>
    <w:basedOn w:val="Aucuneliste"/>
    <w:rsid w:val="003A7816"/>
    <w:pPr>
      <w:numPr>
        <w:numId w:val="10"/>
      </w:numPr>
    </w:pPr>
  </w:style>
  <w:style w:type="numbering" w:customStyle="1" w:styleId="WWNum11">
    <w:name w:val="WWNum11"/>
    <w:basedOn w:val="Aucuneliste"/>
    <w:rsid w:val="003A7816"/>
    <w:pPr>
      <w:numPr>
        <w:numId w:val="11"/>
      </w:numPr>
    </w:pPr>
  </w:style>
  <w:style w:type="numbering" w:customStyle="1" w:styleId="WWNum12">
    <w:name w:val="WWNum12"/>
    <w:basedOn w:val="Aucuneliste"/>
    <w:rsid w:val="003A7816"/>
    <w:pPr>
      <w:numPr>
        <w:numId w:val="12"/>
      </w:numPr>
    </w:pPr>
  </w:style>
  <w:style w:type="numbering" w:customStyle="1" w:styleId="WWNum13">
    <w:name w:val="WWNum13"/>
    <w:basedOn w:val="Aucuneliste"/>
    <w:rsid w:val="003A7816"/>
    <w:pPr>
      <w:numPr>
        <w:numId w:val="13"/>
      </w:numPr>
    </w:pPr>
  </w:style>
  <w:style w:type="numbering" w:customStyle="1" w:styleId="WWNum14">
    <w:name w:val="WWNum14"/>
    <w:basedOn w:val="Aucuneliste"/>
    <w:rsid w:val="003A7816"/>
    <w:pPr>
      <w:numPr>
        <w:numId w:val="14"/>
      </w:numPr>
    </w:pPr>
  </w:style>
  <w:style w:type="numbering" w:customStyle="1" w:styleId="WWNum15">
    <w:name w:val="WWNum15"/>
    <w:basedOn w:val="Aucuneliste"/>
    <w:rsid w:val="003A7816"/>
    <w:pPr>
      <w:numPr>
        <w:numId w:val="15"/>
      </w:numPr>
    </w:pPr>
  </w:style>
  <w:style w:type="numbering" w:customStyle="1" w:styleId="WWNum16">
    <w:name w:val="WWNum16"/>
    <w:basedOn w:val="Aucuneliste"/>
    <w:rsid w:val="003A7816"/>
    <w:pPr>
      <w:numPr>
        <w:numId w:val="16"/>
      </w:numPr>
    </w:pPr>
  </w:style>
  <w:style w:type="numbering" w:customStyle="1" w:styleId="WWNum17">
    <w:name w:val="WWNum17"/>
    <w:basedOn w:val="Aucuneliste"/>
    <w:rsid w:val="003A7816"/>
    <w:pPr>
      <w:numPr>
        <w:numId w:val="17"/>
      </w:numPr>
    </w:pPr>
  </w:style>
  <w:style w:type="paragraph" w:styleId="En-tte">
    <w:name w:val="header"/>
    <w:basedOn w:val="Normal"/>
    <w:link w:val="En-tteCar1"/>
    <w:uiPriority w:val="99"/>
    <w:unhideWhenUsed/>
    <w:rsid w:val="003A7816"/>
    <w:pPr>
      <w:tabs>
        <w:tab w:val="center" w:pos="4536"/>
        <w:tab w:val="right" w:pos="9072"/>
      </w:tabs>
    </w:pPr>
  </w:style>
  <w:style w:type="character" w:customStyle="1" w:styleId="En-tteCar1">
    <w:name w:val="En-tête Car1"/>
    <w:basedOn w:val="Policepardfaut"/>
    <w:link w:val="En-tte"/>
    <w:uiPriority w:val="99"/>
    <w:semiHidden/>
    <w:rsid w:val="003A7816"/>
  </w:style>
  <w:style w:type="paragraph" w:styleId="Pieddepage">
    <w:name w:val="footer"/>
    <w:basedOn w:val="Normal"/>
    <w:link w:val="PieddepageCar"/>
    <w:uiPriority w:val="99"/>
    <w:unhideWhenUsed/>
    <w:rsid w:val="003A7816"/>
    <w:pPr>
      <w:tabs>
        <w:tab w:val="center" w:pos="4536"/>
        <w:tab w:val="right" w:pos="9072"/>
      </w:tabs>
    </w:pPr>
  </w:style>
  <w:style w:type="character" w:customStyle="1" w:styleId="PieddepageCar">
    <w:name w:val="Pied de page Car"/>
    <w:basedOn w:val="Policepardfaut"/>
    <w:link w:val="Pieddepage"/>
    <w:uiPriority w:val="99"/>
    <w:rsid w:val="003A7816"/>
  </w:style>
  <w:style w:type="character" w:styleId="Lienhypertexte">
    <w:name w:val="Hyperlink"/>
    <w:basedOn w:val="Policepardfaut"/>
    <w:uiPriority w:val="99"/>
    <w:unhideWhenUsed/>
    <w:rsid w:val="00425F6E"/>
    <w:rPr>
      <w:color w:val="0000FF"/>
      <w:u w:val="single"/>
    </w:rPr>
  </w:style>
  <w:style w:type="character" w:customStyle="1" w:styleId="Titre1Car">
    <w:name w:val="Titre 1 Car"/>
    <w:basedOn w:val="Policepardfaut"/>
    <w:link w:val="Titre1"/>
    <w:uiPriority w:val="9"/>
    <w:rsid w:val="00375DEF"/>
    <w:rPr>
      <w:rFonts w:ascii="Calibri" w:eastAsiaTheme="majorEastAsia" w:hAnsi="Calibri" w:cstheme="majorBidi"/>
      <w:b/>
      <w:bCs/>
      <w:color w:val="943634" w:themeColor="accent2" w:themeShade="BF"/>
      <w:sz w:val="28"/>
      <w:szCs w:val="28"/>
    </w:rPr>
  </w:style>
  <w:style w:type="character" w:customStyle="1" w:styleId="Titre2Car">
    <w:name w:val="Titre 2 Car"/>
    <w:basedOn w:val="Policepardfaut"/>
    <w:link w:val="Titre2"/>
    <w:uiPriority w:val="9"/>
    <w:rsid w:val="00093A5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75DEF"/>
    <w:rPr>
      <w:rFonts w:asciiTheme="majorHAnsi" w:eastAsiaTheme="majorEastAsia" w:hAnsiTheme="majorHAnsi" w:cstheme="majorBidi"/>
      <w:b/>
      <w:bCs/>
      <w:color w:val="943634" w:themeColor="accent2" w:themeShade="BF"/>
    </w:rPr>
  </w:style>
  <w:style w:type="character" w:customStyle="1" w:styleId="Titre4Car">
    <w:name w:val="Titre 4 Car"/>
    <w:basedOn w:val="Policepardfaut"/>
    <w:link w:val="Titre4"/>
    <w:uiPriority w:val="9"/>
    <w:rsid w:val="00093A51"/>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unhideWhenUsed/>
    <w:qFormat/>
    <w:rsid w:val="005548C7"/>
    <w:pPr>
      <w:widowControl/>
      <w:suppressAutoHyphens w:val="0"/>
      <w:autoSpaceDN/>
      <w:spacing w:line="276" w:lineRule="auto"/>
      <w:textAlignment w:val="auto"/>
      <w:outlineLvl w:val="9"/>
    </w:pPr>
    <w:rPr>
      <w:kern w:val="0"/>
      <w:lang w:eastAsia="en-US"/>
    </w:rPr>
  </w:style>
  <w:style w:type="paragraph" w:styleId="TM3">
    <w:name w:val="toc 3"/>
    <w:basedOn w:val="Normal"/>
    <w:next w:val="Normal"/>
    <w:autoRedefine/>
    <w:uiPriority w:val="39"/>
    <w:unhideWhenUsed/>
    <w:rsid w:val="005548C7"/>
    <w:pPr>
      <w:spacing w:after="100"/>
      <w:ind w:left="400"/>
    </w:pPr>
  </w:style>
  <w:style w:type="paragraph" w:styleId="TM1">
    <w:name w:val="toc 1"/>
    <w:basedOn w:val="Normal"/>
    <w:next w:val="Normal"/>
    <w:autoRedefine/>
    <w:uiPriority w:val="39"/>
    <w:unhideWhenUsed/>
    <w:rsid w:val="00375DEF"/>
    <w:pPr>
      <w:tabs>
        <w:tab w:val="left" w:pos="8505"/>
      </w:tabs>
      <w:spacing w:after="100"/>
    </w:pPr>
  </w:style>
  <w:style w:type="paragraph" w:styleId="TM2">
    <w:name w:val="toc 2"/>
    <w:basedOn w:val="Normal"/>
    <w:next w:val="Normal"/>
    <w:autoRedefine/>
    <w:uiPriority w:val="39"/>
    <w:unhideWhenUsed/>
    <w:rsid w:val="005548C7"/>
    <w:pPr>
      <w:spacing w:after="100"/>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a.aji-fra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che-public.fr/Marches-publics/Textes/Decrets/Decret_no_2018-1075-ccp-ECOM1818600D.htm" TargetMode="External"/><Relationship Id="rId4" Type="http://schemas.openxmlformats.org/officeDocument/2006/relationships/settings" Target="settings.xml"/><Relationship Id="rId9" Type="http://schemas.openxmlformats.org/officeDocument/2006/relationships/hyperlink" Target="http://www.marche-public.fr/Marches-publics/Textes/Ordonnances/Ordonnance-2018-1074-ccp-ECOM1818593R.ht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EBB16-B292-47F7-B281-555E76F0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LYCEE PERIER</vt:lpstr>
    </vt:vector>
  </TitlesOfParts>
  <Company>LYCEE PERIER</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PERIER</dc:title>
  <dc:creator>PERIER</dc:creator>
  <cp:lastModifiedBy>Bonnaffous Jean-Marc</cp:lastModifiedBy>
  <cp:revision>13</cp:revision>
  <cp:lastPrinted>2021-02-17T09:07:00Z</cp:lastPrinted>
  <dcterms:created xsi:type="dcterms:W3CDTF">2021-02-04T14:31:00Z</dcterms:created>
  <dcterms:modified xsi:type="dcterms:W3CDTF">2021-04-12T07:15:00Z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LYCEE PERIER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