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41" w:rsidRPr="008E7B62" w:rsidRDefault="00E25241" w:rsidP="00E25241">
      <w:pPr>
        <w:spacing w:after="40" w:line="240" w:lineRule="exact"/>
        <w:rPr>
          <w:rFonts w:ascii="Arial" w:hAnsi="Arial" w:cs="Arial"/>
        </w:rPr>
      </w:pPr>
      <w:r w:rsidRPr="008E7B62">
        <w:rPr>
          <w:rFonts w:ascii="Arial" w:hAnsi="Arial" w:cs="Arial"/>
          <w:noProof/>
          <w:lang w:val="fr-FR" w:eastAsia="fr-FR"/>
        </w:rPr>
        <w:drawing>
          <wp:anchor distT="0" distB="0" distL="114300" distR="114300" simplePos="0" relativeHeight="251659264" behindDoc="0" locked="0" layoutInCell="1" allowOverlap="1">
            <wp:simplePos x="0" y="0"/>
            <wp:positionH relativeFrom="margin">
              <wp:posOffset>2076450</wp:posOffset>
            </wp:positionH>
            <wp:positionV relativeFrom="margin">
              <wp:posOffset>-142240</wp:posOffset>
            </wp:positionV>
            <wp:extent cx="1602105" cy="1414145"/>
            <wp:effectExtent l="19050" t="0" r="0" b="0"/>
            <wp:wrapSquare wrapText="bothSides"/>
            <wp:docPr id="4" name="Image 2" descr="Logo_lettre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ttre_85"/>
                    <pic:cNvPicPr>
                      <a:picLocks noChangeAspect="1" noChangeArrowheads="1"/>
                    </pic:cNvPicPr>
                  </pic:nvPicPr>
                  <pic:blipFill>
                    <a:blip r:embed="rId6" cstate="print"/>
                    <a:srcRect/>
                    <a:stretch>
                      <a:fillRect/>
                    </a:stretch>
                  </pic:blipFill>
                  <pic:spPr bwMode="auto">
                    <a:xfrm>
                      <a:off x="0" y="0"/>
                      <a:ext cx="1602105" cy="1414145"/>
                    </a:xfrm>
                    <a:prstGeom prst="rect">
                      <a:avLst/>
                    </a:prstGeom>
                    <a:noFill/>
                  </pic:spPr>
                </pic:pic>
              </a:graphicData>
            </a:graphic>
          </wp:anchor>
        </w:drawing>
      </w:r>
    </w:p>
    <w:p w:rsidR="00E25241" w:rsidRPr="008E7B62" w:rsidRDefault="00E25241" w:rsidP="00E25241">
      <w:pPr>
        <w:ind w:left="3420" w:right="3380"/>
        <w:rPr>
          <w:rFonts w:ascii="Arial" w:hAnsi="Arial" w:cs="Arial"/>
          <w:sz w:val="2"/>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after="20" w:line="240" w:lineRule="exact"/>
        <w:rPr>
          <w:rFonts w:ascii="Arial" w:hAnsi="Arial" w:cs="Arial"/>
        </w:rPr>
      </w:pPr>
    </w:p>
    <w:tbl>
      <w:tblPr>
        <w:tblW w:w="0" w:type="auto"/>
        <w:tblInd w:w="20" w:type="dxa"/>
        <w:tblLayout w:type="fixed"/>
        <w:tblLook w:val="04A0"/>
      </w:tblPr>
      <w:tblGrid>
        <w:gridCol w:w="9620"/>
      </w:tblGrid>
      <w:tr w:rsidR="00E25241" w:rsidRPr="008E7B62" w:rsidTr="003F4014">
        <w:tc>
          <w:tcPr>
            <w:tcW w:w="9620" w:type="dxa"/>
            <w:shd w:val="clear" w:color="666553" w:fill="666553"/>
            <w:tcMar>
              <w:top w:w="40" w:type="dxa"/>
              <w:left w:w="0" w:type="dxa"/>
              <w:bottom w:w="0" w:type="dxa"/>
              <w:right w:w="0" w:type="dxa"/>
            </w:tcMar>
            <w:vAlign w:val="center"/>
          </w:tcPr>
          <w:p w:rsidR="00E25241" w:rsidRPr="008E7B62" w:rsidRDefault="00E25241" w:rsidP="003F4014">
            <w:pPr>
              <w:jc w:val="center"/>
              <w:rPr>
                <w:rFonts w:ascii="Arial" w:eastAsia="Arial Narrow" w:hAnsi="Arial" w:cs="Arial"/>
                <w:b/>
                <w:color w:val="FFFFFF"/>
                <w:sz w:val="28"/>
                <w:lang w:val="fr-FR"/>
              </w:rPr>
            </w:pPr>
            <w:r w:rsidRPr="008E7B62">
              <w:rPr>
                <w:rFonts w:ascii="Arial" w:eastAsia="Arial Narrow" w:hAnsi="Arial" w:cs="Arial"/>
                <w:b/>
                <w:color w:val="FFFFFF"/>
                <w:sz w:val="28"/>
                <w:lang w:val="fr-FR"/>
              </w:rPr>
              <w:t>RÈGLEMENT DE LA CONSULTATION</w:t>
            </w:r>
          </w:p>
        </w:tc>
      </w:tr>
    </w:tbl>
    <w:p w:rsidR="00E25241" w:rsidRPr="008E7B62" w:rsidRDefault="00E25241" w:rsidP="00E25241">
      <w:pPr>
        <w:spacing w:line="240" w:lineRule="exact"/>
        <w:rPr>
          <w:rFonts w:ascii="Arial" w:hAnsi="Arial" w:cs="Arial"/>
        </w:rPr>
      </w:pPr>
      <w:r w:rsidRPr="008E7B62">
        <w:rPr>
          <w:rFonts w:ascii="Arial" w:hAnsi="Arial" w:cs="Arial"/>
        </w:rPr>
        <w:t xml:space="preserve"> </w:t>
      </w:r>
    </w:p>
    <w:p w:rsidR="00E25241" w:rsidRPr="008E7B62" w:rsidRDefault="00E25241" w:rsidP="00E25241">
      <w:pPr>
        <w:spacing w:after="220" w:line="240" w:lineRule="exact"/>
        <w:rPr>
          <w:rFonts w:ascii="Arial" w:hAnsi="Arial" w:cs="Arial"/>
        </w:rPr>
      </w:pPr>
    </w:p>
    <w:p w:rsidR="00E25241" w:rsidRPr="008E7B62" w:rsidRDefault="00E25241" w:rsidP="00E25241">
      <w:pPr>
        <w:spacing w:before="40"/>
        <w:ind w:left="20" w:right="20"/>
        <w:jc w:val="center"/>
        <w:rPr>
          <w:rFonts w:ascii="Arial" w:eastAsia="Arial Narrow" w:hAnsi="Arial" w:cs="Arial"/>
          <w:b/>
          <w:color w:val="000000"/>
          <w:sz w:val="28"/>
          <w:lang w:val="fr-FR"/>
        </w:rPr>
      </w:pPr>
      <w:r w:rsidRPr="008E7B62">
        <w:rPr>
          <w:rFonts w:ascii="Arial" w:eastAsia="Arial Narrow" w:hAnsi="Arial" w:cs="Arial"/>
          <w:b/>
          <w:color w:val="000000"/>
          <w:sz w:val="28"/>
          <w:lang w:val="fr-FR"/>
        </w:rPr>
        <w:t>MARCHÉ PUBLIC DE TRAVAUX</w:t>
      </w: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line="240" w:lineRule="exact"/>
        <w:rPr>
          <w:rFonts w:ascii="Arial" w:hAnsi="Arial" w:cs="Arial"/>
        </w:rPr>
      </w:pPr>
    </w:p>
    <w:p w:rsidR="00E25241" w:rsidRPr="008E7B62" w:rsidRDefault="00E25241" w:rsidP="00E25241">
      <w:pPr>
        <w:spacing w:after="180" w:line="240" w:lineRule="exact"/>
        <w:rPr>
          <w:rFonts w:ascii="Arial" w:hAnsi="Arial" w:cs="Arial"/>
        </w:rPr>
      </w:pPr>
    </w:p>
    <w:tbl>
      <w:tblPr>
        <w:tblW w:w="0" w:type="auto"/>
        <w:tblInd w:w="1280" w:type="dxa"/>
        <w:tblLayout w:type="fixed"/>
        <w:tblLook w:val="04A0"/>
      </w:tblPr>
      <w:tblGrid>
        <w:gridCol w:w="7100"/>
      </w:tblGrid>
      <w:tr w:rsidR="00E25241" w:rsidRPr="000D388A" w:rsidTr="003F4014">
        <w:tc>
          <w:tcPr>
            <w:tcW w:w="7100" w:type="dxa"/>
            <w:tcBorders>
              <w:top w:val="single" w:sz="4" w:space="0" w:color="000000"/>
              <w:bottom w:val="single" w:sz="4" w:space="0" w:color="000000"/>
            </w:tcBorders>
            <w:tcMar>
              <w:top w:w="400" w:type="dxa"/>
              <w:left w:w="0" w:type="dxa"/>
              <w:bottom w:w="400" w:type="dxa"/>
              <w:right w:w="0" w:type="dxa"/>
            </w:tcMar>
            <w:vAlign w:val="center"/>
          </w:tcPr>
          <w:p w:rsidR="00E25241" w:rsidRPr="008E7B62" w:rsidRDefault="00E25241" w:rsidP="008E7B62">
            <w:pPr>
              <w:spacing w:line="321" w:lineRule="exact"/>
              <w:jc w:val="center"/>
              <w:rPr>
                <w:rFonts w:ascii="Arial" w:eastAsia="Arial Narrow" w:hAnsi="Arial" w:cs="Arial"/>
                <w:b/>
                <w:color w:val="000000"/>
                <w:sz w:val="28"/>
                <w:lang w:val="fr-FR"/>
              </w:rPr>
            </w:pPr>
            <w:r w:rsidRPr="008E7B62">
              <w:rPr>
                <w:rFonts w:ascii="Arial" w:eastAsia="Arial Narrow" w:hAnsi="Arial" w:cs="Arial"/>
                <w:b/>
                <w:color w:val="000000"/>
                <w:sz w:val="28"/>
                <w:lang w:val="fr-FR"/>
              </w:rPr>
              <w:t>Re</w:t>
            </w:r>
            <w:r w:rsidR="008E7B62" w:rsidRPr="008E7B62">
              <w:rPr>
                <w:rFonts w:ascii="Arial" w:eastAsia="Arial Narrow" w:hAnsi="Arial" w:cs="Arial"/>
                <w:b/>
                <w:color w:val="000000"/>
                <w:sz w:val="28"/>
                <w:lang w:val="fr-FR"/>
              </w:rPr>
              <w:t>structuration de la laverie</w:t>
            </w:r>
            <w:r w:rsidRPr="008E7B62">
              <w:rPr>
                <w:rFonts w:ascii="Arial" w:eastAsia="Arial Narrow" w:hAnsi="Arial" w:cs="Arial"/>
                <w:b/>
                <w:color w:val="000000"/>
                <w:sz w:val="28"/>
                <w:lang w:val="fr-FR"/>
              </w:rPr>
              <w:t xml:space="preserve"> du Lycée Blaise Pascal de Clermont-Ferrand</w:t>
            </w:r>
          </w:p>
        </w:tc>
      </w:tr>
    </w:tbl>
    <w:p w:rsidR="00E25241" w:rsidRPr="008E7B62" w:rsidRDefault="00E25241" w:rsidP="00E25241">
      <w:pPr>
        <w:spacing w:line="240" w:lineRule="exact"/>
        <w:rPr>
          <w:rFonts w:ascii="Arial" w:hAnsi="Arial" w:cs="Arial"/>
          <w:lang w:val="fr-FR"/>
        </w:rPr>
      </w:pPr>
      <w:r w:rsidRPr="008E7B62">
        <w:rPr>
          <w:rFonts w:ascii="Arial" w:hAnsi="Arial" w:cs="Arial"/>
          <w:lang w:val="fr-FR"/>
        </w:rPr>
        <w:t xml:space="preserve"> </w:t>
      </w:r>
    </w:p>
    <w:p w:rsidR="00E25241" w:rsidRPr="008E7B62" w:rsidRDefault="00E25241" w:rsidP="00E25241">
      <w:pPr>
        <w:spacing w:after="140" w:line="240" w:lineRule="exact"/>
        <w:rPr>
          <w:rFonts w:ascii="Arial" w:hAnsi="Arial" w:cs="Arial"/>
          <w:lang w:val="fr-FR"/>
        </w:rPr>
      </w:pPr>
    </w:p>
    <w:p w:rsidR="00E25241" w:rsidRPr="008E7B62" w:rsidRDefault="00E25241" w:rsidP="00E25241">
      <w:pPr>
        <w:spacing w:before="80" w:after="20"/>
        <w:ind w:left="20" w:right="20"/>
        <w:jc w:val="center"/>
        <w:rPr>
          <w:rFonts w:ascii="Arial" w:eastAsia="Arial Narrow" w:hAnsi="Arial" w:cs="Arial"/>
          <w:color w:val="000000"/>
          <w:lang w:val="fr-FR"/>
        </w:rPr>
      </w:pPr>
      <w:r w:rsidRPr="008E7B62">
        <w:rPr>
          <w:rFonts w:ascii="Arial" w:eastAsia="Arial Narrow" w:hAnsi="Arial" w:cs="Arial"/>
          <w:color w:val="000000"/>
          <w:lang w:val="fr-FR"/>
        </w:rPr>
        <w:t>Date et heure limites de réception des offres :</w:t>
      </w:r>
    </w:p>
    <w:p w:rsidR="00E25241" w:rsidRPr="008E7B62" w:rsidRDefault="00B00CB0" w:rsidP="00E25241">
      <w:pPr>
        <w:spacing w:before="80" w:after="20"/>
        <w:ind w:left="20" w:right="20"/>
        <w:jc w:val="center"/>
        <w:rPr>
          <w:rFonts w:ascii="Arial" w:eastAsia="Arial Narrow" w:hAnsi="Arial" w:cs="Arial"/>
          <w:color w:val="000000"/>
          <w:lang w:val="fr-FR"/>
        </w:rPr>
      </w:pPr>
      <w:r>
        <w:rPr>
          <w:rFonts w:ascii="Arial" w:eastAsia="Arial Narrow" w:hAnsi="Arial" w:cs="Arial"/>
          <w:color w:val="000000"/>
          <w:lang w:val="fr-FR"/>
        </w:rPr>
        <w:t>Lundi 11</w:t>
      </w:r>
      <w:r w:rsidR="00E25241" w:rsidRPr="008E7B62">
        <w:rPr>
          <w:rFonts w:ascii="Arial" w:eastAsia="Arial Narrow" w:hAnsi="Arial" w:cs="Arial"/>
          <w:color w:val="000000"/>
          <w:lang w:val="fr-FR"/>
        </w:rPr>
        <w:t xml:space="preserve"> mai 2020 à </w:t>
      </w:r>
      <w:r w:rsidR="00834369">
        <w:rPr>
          <w:rFonts w:ascii="Arial" w:eastAsia="Arial Narrow" w:hAnsi="Arial" w:cs="Arial"/>
          <w:color w:val="000000"/>
          <w:lang w:val="fr-FR"/>
        </w:rPr>
        <w:t>12:00</w:t>
      </w:r>
    </w:p>
    <w:p w:rsidR="00E25241" w:rsidRPr="008E7B62" w:rsidRDefault="00E25241" w:rsidP="00E25241">
      <w:pPr>
        <w:spacing w:line="240" w:lineRule="exact"/>
        <w:rPr>
          <w:rFonts w:ascii="Arial" w:hAnsi="Arial" w:cs="Arial"/>
          <w:lang w:val="fr-FR"/>
        </w:rPr>
      </w:pPr>
    </w:p>
    <w:p w:rsidR="00E25241" w:rsidRPr="008E7B62" w:rsidRDefault="00E25241" w:rsidP="00E25241">
      <w:pPr>
        <w:spacing w:line="240" w:lineRule="exact"/>
        <w:rPr>
          <w:rFonts w:ascii="Arial" w:hAnsi="Arial" w:cs="Arial"/>
          <w:lang w:val="fr-FR"/>
        </w:rPr>
      </w:pPr>
    </w:p>
    <w:p w:rsidR="00E25241" w:rsidRPr="008E7B62" w:rsidRDefault="00E25241" w:rsidP="00E25241">
      <w:pPr>
        <w:spacing w:line="240" w:lineRule="exact"/>
        <w:rPr>
          <w:rFonts w:ascii="Arial" w:hAnsi="Arial" w:cs="Arial"/>
          <w:lang w:val="fr-FR"/>
        </w:rPr>
      </w:pPr>
    </w:p>
    <w:p w:rsidR="00E25241" w:rsidRPr="008E7B62" w:rsidRDefault="00E25241" w:rsidP="00E25241">
      <w:pPr>
        <w:spacing w:line="240" w:lineRule="exact"/>
        <w:rPr>
          <w:rFonts w:ascii="Arial" w:hAnsi="Arial" w:cs="Arial"/>
          <w:lang w:val="fr-FR"/>
        </w:rPr>
      </w:pPr>
    </w:p>
    <w:p w:rsidR="00E25241" w:rsidRPr="008E7B62" w:rsidRDefault="00E25241" w:rsidP="00E25241">
      <w:pPr>
        <w:spacing w:line="275" w:lineRule="exact"/>
        <w:ind w:left="20" w:right="20"/>
        <w:jc w:val="center"/>
        <w:rPr>
          <w:rFonts w:ascii="Arial" w:eastAsia="Arial Narrow" w:hAnsi="Arial" w:cs="Arial"/>
          <w:b/>
          <w:color w:val="000000"/>
          <w:lang w:val="fr-FR"/>
        </w:rPr>
      </w:pPr>
      <w:r w:rsidRPr="008E7B62">
        <w:rPr>
          <w:rFonts w:ascii="Arial" w:eastAsia="Arial Narrow" w:hAnsi="Arial" w:cs="Arial"/>
          <w:b/>
          <w:color w:val="000000"/>
          <w:lang w:val="fr-FR"/>
        </w:rPr>
        <w:t>Lycée Blaise Pascal</w:t>
      </w:r>
    </w:p>
    <w:p w:rsidR="00E25241" w:rsidRPr="008E7B62" w:rsidRDefault="00E25241" w:rsidP="00E25241">
      <w:pPr>
        <w:spacing w:line="275" w:lineRule="exact"/>
        <w:ind w:left="20" w:right="20"/>
        <w:jc w:val="center"/>
        <w:rPr>
          <w:rFonts w:ascii="Arial" w:eastAsia="Arial Narrow" w:hAnsi="Arial" w:cs="Arial"/>
          <w:b/>
          <w:color w:val="000000"/>
          <w:lang w:val="fr-FR"/>
        </w:rPr>
      </w:pPr>
      <w:r w:rsidRPr="008E7B62">
        <w:rPr>
          <w:rFonts w:ascii="Arial" w:eastAsia="Arial Narrow" w:hAnsi="Arial" w:cs="Arial"/>
          <w:b/>
          <w:color w:val="000000"/>
          <w:lang w:val="fr-FR"/>
        </w:rPr>
        <w:t>36 Avenue Carnot</w:t>
      </w:r>
    </w:p>
    <w:p w:rsidR="00E25241" w:rsidRPr="008E7B62" w:rsidRDefault="00E25241" w:rsidP="00E25241">
      <w:pPr>
        <w:spacing w:line="275" w:lineRule="exact"/>
        <w:ind w:left="20" w:right="20"/>
        <w:jc w:val="center"/>
        <w:rPr>
          <w:rFonts w:ascii="Arial" w:eastAsia="Arial Narrow" w:hAnsi="Arial" w:cs="Arial"/>
          <w:color w:val="000000"/>
          <w:lang w:val="fr-FR"/>
        </w:rPr>
      </w:pPr>
      <w:r w:rsidRPr="008E7B62">
        <w:rPr>
          <w:rFonts w:ascii="Arial" w:eastAsia="Arial Narrow" w:hAnsi="Arial" w:cs="Arial"/>
          <w:b/>
          <w:color w:val="000000"/>
          <w:lang w:val="fr-FR"/>
        </w:rPr>
        <w:t>63 000 Clermont-Ferrand</w:t>
      </w:r>
    </w:p>
    <w:p w:rsidR="00E25241" w:rsidRPr="008E7B62" w:rsidRDefault="00E25241" w:rsidP="00E25241">
      <w:pPr>
        <w:spacing w:line="275" w:lineRule="exact"/>
        <w:ind w:left="20" w:right="20"/>
        <w:jc w:val="center"/>
        <w:rPr>
          <w:rFonts w:ascii="Arial" w:eastAsia="Arial Narrow" w:hAnsi="Arial" w:cs="Arial"/>
          <w:color w:val="000000"/>
          <w:lang w:val="fr-FR"/>
        </w:rPr>
        <w:sectPr w:rsidR="00E25241" w:rsidRPr="008E7B62">
          <w:pgSz w:w="11900" w:h="16840"/>
          <w:pgMar w:top="1134" w:right="1134" w:bottom="1134" w:left="1134" w:header="1134" w:footer="1134" w:gutter="0"/>
          <w:cols w:space="708"/>
        </w:sectPr>
      </w:pPr>
    </w:p>
    <w:p w:rsidR="00E25241" w:rsidRPr="008E7B62" w:rsidRDefault="00E25241" w:rsidP="00E25241">
      <w:pPr>
        <w:spacing w:line="20" w:lineRule="exact"/>
        <w:rPr>
          <w:rFonts w:ascii="Arial" w:hAnsi="Arial" w:cs="Arial"/>
          <w:sz w:val="2"/>
          <w:lang w:val="fr-FR"/>
        </w:rPr>
      </w:pPr>
    </w:p>
    <w:p w:rsidR="00706197" w:rsidRPr="00834369" w:rsidRDefault="00E25241" w:rsidP="00706197">
      <w:pPr>
        <w:spacing w:after="80" w:line="240" w:lineRule="exact"/>
        <w:rPr>
          <w:lang w:val="fr-FR"/>
        </w:rPr>
      </w:pPr>
      <w:r w:rsidRPr="008E7B62">
        <w:rPr>
          <w:rFonts w:ascii="Arial" w:eastAsia="Arial Narrow" w:hAnsi="Arial" w:cs="Arial"/>
          <w:b/>
          <w:color w:val="000000"/>
          <w:lang w:val="fr-FR"/>
        </w:rPr>
        <w:t>SOMMAIRE</w:t>
      </w:r>
    </w:p>
    <w:p w:rsidR="00706197" w:rsidRPr="00706197" w:rsidRDefault="00B84953"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sz w:val="22"/>
          <w:lang w:val="fr-FR"/>
        </w:rPr>
        <w:fldChar w:fldCharType="begin"/>
      </w:r>
      <w:r w:rsidR="00706197">
        <w:rPr>
          <w:rFonts w:ascii="Arial Narrow" w:eastAsia="Arial Narrow" w:hAnsi="Arial Narrow" w:cs="Arial Narrow"/>
          <w:color w:val="000000"/>
          <w:sz w:val="22"/>
          <w:lang w:val="fr-FR"/>
        </w:rPr>
        <w:instrText xml:space="preserve"> TOC </w:instrText>
      </w:r>
      <w:r>
        <w:rPr>
          <w:rFonts w:ascii="Arial Narrow" w:eastAsia="Arial Narrow" w:hAnsi="Arial Narrow" w:cs="Arial Narrow"/>
          <w:color w:val="000000"/>
          <w:sz w:val="22"/>
          <w:lang w:val="fr-FR"/>
        </w:rPr>
        <w:fldChar w:fldCharType="separate"/>
      </w:r>
      <w:r w:rsidR="00706197">
        <w:rPr>
          <w:rFonts w:ascii="Arial Narrow" w:eastAsia="Arial Narrow" w:hAnsi="Arial Narrow" w:cs="Arial Narrow"/>
          <w:color w:val="000000"/>
          <w:lang w:val="fr-FR"/>
        </w:rPr>
        <w:t>1 - Objet et étendue de la consultation</w:t>
      </w:r>
      <w:r w:rsidR="00706197" w:rsidRPr="00706197">
        <w:rPr>
          <w:rFonts w:ascii="Arial Narrow" w:eastAsia="Arial Narrow" w:hAnsi="Arial Narrow" w:cs="Arial Narrow"/>
          <w:lang w:val="fr-FR"/>
        </w:rPr>
        <w:tab/>
      </w:r>
      <w:r>
        <w:rPr>
          <w:rFonts w:ascii="Arial Narrow" w:eastAsia="Arial Narrow" w:hAnsi="Arial Narrow" w:cs="Arial Narrow"/>
        </w:rPr>
        <w:fldChar w:fldCharType="begin"/>
      </w:r>
      <w:r w:rsidR="00706197" w:rsidRPr="00706197">
        <w:rPr>
          <w:rFonts w:ascii="Arial Narrow" w:eastAsia="Arial Narrow" w:hAnsi="Arial Narrow" w:cs="Arial Narrow"/>
          <w:lang w:val="fr-FR"/>
        </w:rPr>
        <w:instrText xml:space="preserve"> PAGEREF _Toc256000000 \h </w:instrText>
      </w:r>
      <w:r>
        <w:rPr>
          <w:rFonts w:ascii="Arial Narrow" w:eastAsia="Arial Narrow" w:hAnsi="Arial Narrow" w:cs="Arial Narrow"/>
        </w:rPr>
      </w:r>
      <w:r>
        <w:rPr>
          <w:rFonts w:ascii="Arial Narrow" w:eastAsia="Arial Narrow" w:hAnsi="Arial Narrow" w:cs="Arial Narrow"/>
        </w:rPr>
        <w:fldChar w:fldCharType="separate"/>
      </w:r>
      <w:r w:rsidR="00706197" w:rsidRPr="00706197">
        <w:rPr>
          <w:rFonts w:ascii="Arial Narrow" w:eastAsia="Arial Narrow" w:hAnsi="Arial Narrow" w:cs="Arial Narrow"/>
          <w:lang w:val="fr-FR"/>
        </w:rPr>
        <w:t>3</w:t>
      </w:r>
      <w:r>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1.1 - Objet</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_Toc256000001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3</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1.2 - Mode de passation</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_Toc256000002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3</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1.3 - Type et forme de contrat</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_Toc256000003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3</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1.4 - Décomposition de la consultation</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_Toc256000004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3</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1.5 - Nomenclature</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_Toc256000005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3</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2 - Conditions de la consultation</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_Toc256000006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2.1 - Délai de validité des offres</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_Toc256000007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2.2 - Forme juridique du groupement</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_Toc256000008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2.3 - Variantes</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_Toc256000009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3 - Les intervenants</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_Toc256000010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3.1 - Maîtrise d'oeuvre</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_Toc256000011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3.2 - Contrôle technique</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_Toc256000012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4</w:t>
      </w:r>
      <w:r w:rsidR="00B84953">
        <w:rPr>
          <w:rFonts w:ascii="Arial Narrow" w:eastAsia="Arial Narrow" w:hAnsi="Arial Narrow" w:cs="Arial Narrow"/>
        </w:rPr>
        <w:fldChar w:fldCharType="end"/>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3.3 - Sécurité et protection de la santé des travailleurs</w:t>
      </w:r>
      <w:r w:rsidRPr="00706197">
        <w:rPr>
          <w:rFonts w:ascii="Arial Narrow" w:eastAsia="Arial Narrow" w:hAnsi="Arial Narrow" w:cs="Arial Narrow"/>
          <w:lang w:val="fr-FR"/>
        </w:rPr>
        <w:tab/>
        <w:t>4</w:t>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4 - Conditions relatives au contrat</w:t>
      </w:r>
      <w:r w:rsidRPr="00706197">
        <w:rPr>
          <w:rFonts w:ascii="Arial Narrow" w:eastAsia="Arial Narrow" w:hAnsi="Arial Narrow" w:cs="Arial Narrow"/>
          <w:lang w:val="fr-FR"/>
        </w:rPr>
        <w:tab/>
      </w:r>
      <w:r w:rsidRPr="00834369">
        <w:rPr>
          <w:rFonts w:ascii="Arial Narrow" w:eastAsia="Arial Narrow" w:hAnsi="Arial Narrow" w:cs="Arial Narrow"/>
          <w:lang w:val="fr-FR"/>
        </w:rPr>
        <w:t>4</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4.1 - Durée du contrat ou délai d'exécution</w:t>
      </w:r>
      <w:r w:rsidRPr="00706197">
        <w:rPr>
          <w:rFonts w:ascii="Arial Narrow" w:eastAsia="Arial Narrow" w:hAnsi="Arial Narrow" w:cs="Arial Narrow"/>
          <w:lang w:val="fr-FR"/>
        </w:rPr>
        <w:tab/>
        <w:t>4</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4.2 - Modalités essentielles de financement et de paiement</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_Toc256000016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5</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5 - Contenu du dossier de consultation</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_Toc256000017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5</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6 - Présentation des candidatures et des offres</w:t>
      </w:r>
      <w:r w:rsidRPr="00706197">
        <w:rPr>
          <w:rFonts w:ascii="Arial Narrow" w:eastAsia="Arial Narrow" w:hAnsi="Arial Narrow" w:cs="Arial Narrow"/>
          <w:lang w:val="fr-FR"/>
        </w:rPr>
        <w:tab/>
        <w:t>5</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6.1 - Documents à produire</w:t>
      </w:r>
      <w:r w:rsidRPr="00706197">
        <w:rPr>
          <w:rFonts w:ascii="Arial Narrow" w:eastAsia="Arial Narrow" w:hAnsi="Arial Narrow" w:cs="Arial Narrow"/>
          <w:lang w:val="fr-FR"/>
        </w:rPr>
        <w:tab/>
      </w:r>
      <w:r w:rsidRPr="00834369">
        <w:rPr>
          <w:rFonts w:ascii="Arial Narrow" w:eastAsia="Arial Narrow" w:hAnsi="Arial Narrow" w:cs="Arial Narrow"/>
          <w:lang w:val="fr-FR"/>
        </w:rPr>
        <w:t>5</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6.2 - Visites sur site</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_Toc256000020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7</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7 - Conditions d'envoi ou de remise des plis</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_Toc256000021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sidRPr="00706197">
        <w:rPr>
          <w:rFonts w:ascii="Arial Narrow" w:eastAsia="Arial Narrow" w:hAnsi="Arial Narrow" w:cs="Arial Narrow"/>
          <w:lang w:val="fr-FR"/>
        </w:rPr>
        <w:t>7</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8 - Examen des candidatures et des offres</w:t>
      </w:r>
      <w:r w:rsidRPr="00706197">
        <w:rPr>
          <w:rFonts w:ascii="Arial Narrow" w:eastAsia="Arial Narrow" w:hAnsi="Arial Narrow" w:cs="Arial Narrow"/>
          <w:lang w:val="fr-FR"/>
        </w:rPr>
        <w:tab/>
        <w:t>8</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8.1 - Sélection des candidatures</w:t>
      </w:r>
      <w:r w:rsidRPr="00706197">
        <w:rPr>
          <w:rFonts w:ascii="Arial Narrow" w:eastAsia="Arial Narrow" w:hAnsi="Arial Narrow" w:cs="Arial Narrow"/>
          <w:lang w:val="fr-FR"/>
        </w:rPr>
        <w:tab/>
        <w:t>8</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8.2 - Attribution des marchés</w:t>
      </w:r>
      <w:r w:rsidRPr="00706197">
        <w:rPr>
          <w:rFonts w:ascii="Arial Narrow" w:eastAsia="Arial Narrow" w:hAnsi="Arial Narrow" w:cs="Arial Narrow"/>
          <w:lang w:val="fr-FR"/>
        </w:rPr>
        <w:tab/>
        <w:t>8</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8.3 - Suite à donner à la consultation</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_Toc256000027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Pr>
          <w:rFonts w:ascii="Arial Narrow" w:eastAsia="Arial Narrow" w:hAnsi="Arial Narrow" w:cs="Arial Narrow"/>
          <w:lang w:val="fr-FR"/>
        </w:rPr>
        <w:t>9</w:t>
      </w:r>
      <w:r w:rsidR="00B84953">
        <w:rPr>
          <w:rFonts w:ascii="Arial Narrow" w:eastAsia="Arial Narrow" w:hAnsi="Arial Narrow" w:cs="Arial Narrow"/>
        </w:rPr>
        <w:fldChar w:fldCharType="end"/>
      </w:r>
    </w:p>
    <w:p w:rsidR="00706197" w:rsidRPr="00706197" w:rsidRDefault="00706197" w:rsidP="00706197">
      <w:pPr>
        <w:pStyle w:val="TM1"/>
        <w:tabs>
          <w:tab w:val="right" w:leader="dot" w:pos="9622"/>
        </w:tabs>
        <w:rPr>
          <w:rFonts w:ascii="Calibri" w:hAnsi="Calibri"/>
          <w:noProof/>
          <w:sz w:val="22"/>
          <w:lang w:val="fr-FR"/>
        </w:rPr>
      </w:pPr>
      <w:r>
        <w:rPr>
          <w:rFonts w:ascii="Arial Narrow" w:eastAsia="Arial Narrow" w:hAnsi="Arial Narrow" w:cs="Arial Narrow"/>
          <w:color w:val="000000"/>
          <w:lang w:val="fr-FR"/>
        </w:rPr>
        <w:t>9 - Renseignements complémentaires</w:t>
      </w:r>
      <w:r w:rsidRPr="00706197">
        <w:rPr>
          <w:rFonts w:ascii="Arial Narrow" w:eastAsia="Arial Narrow" w:hAnsi="Arial Narrow" w:cs="Arial Narrow"/>
          <w:lang w:val="fr-FR"/>
        </w:rPr>
        <w:tab/>
      </w:r>
      <w:r w:rsidRPr="00834369">
        <w:rPr>
          <w:rFonts w:ascii="Arial Narrow" w:eastAsia="Arial Narrow" w:hAnsi="Arial Narrow" w:cs="Arial Narrow"/>
          <w:lang w:val="fr-FR"/>
        </w:rPr>
        <w:t>9</w:t>
      </w:r>
    </w:p>
    <w:p w:rsidR="00706197" w:rsidRPr="00706197"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9.1 - Adresses supplémentaires et points de contact</w:t>
      </w:r>
      <w:r w:rsidRPr="00706197">
        <w:rPr>
          <w:rFonts w:ascii="Arial Narrow" w:eastAsia="Arial Narrow" w:hAnsi="Arial Narrow" w:cs="Arial Narrow"/>
          <w:lang w:val="fr-FR"/>
        </w:rPr>
        <w:tab/>
      </w:r>
      <w:r w:rsidR="00B84953">
        <w:rPr>
          <w:rFonts w:ascii="Arial Narrow" w:eastAsia="Arial Narrow" w:hAnsi="Arial Narrow" w:cs="Arial Narrow"/>
        </w:rPr>
        <w:fldChar w:fldCharType="begin"/>
      </w:r>
      <w:r w:rsidRPr="00706197">
        <w:rPr>
          <w:rFonts w:ascii="Arial Narrow" w:eastAsia="Arial Narrow" w:hAnsi="Arial Narrow" w:cs="Arial Narrow"/>
          <w:lang w:val="fr-FR"/>
        </w:rPr>
        <w:instrText xml:space="preserve"> PAGEREF _Toc256000029 \h </w:instrText>
      </w:r>
      <w:r w:rsidR="00B84953">
        <w:rPr>
          <w:rFonts w:ascii="Arial Narrow" w:eastAsia="Arial Narrow" w:hAnsi="Arial Narrow" w:cs="Arial Narrow"/>
        </w:rPr>
      </w:r>
      <w:r w:rsidR="00B84953">
        <w:rPr>
          <w:rFonts w:ascii="Arial Narrow" w:eastAsia="Arial Narrow" w:hAnsi="Arial Narrow" w:cs="Arial Narrow"/>
        </w:rPr>
        <w:fldChar w:fldCharType="separate"/>
      </w:r>
      <w:r>
        <w:rPr>
          <w:rFonts w:ascii="Arial Narrow" w:eastAsia="Arial Narrow" w:hAnsi="Arial Narrow" w:cs="Arial Narrow"/>
          <w:lang w:val="fr-FR"/>
        </w:rPr>
        <w:t>9</w:t>
      </w:r>
      <w:r w:rsidR="00B84953">
        <w:rPr>
          <w:rFonts w:ascii="Arial Narrow" w:eastAsia="Arial Narrow" w:hAnsi="Arial Narrow" w:cs="Arial Narrow"/>
        </w:rPr>
        <w:fldChar w:fldCharType="end"/>
      </w:r>
    </w:p>
    <w:p w:rsidR="00706197" w:rsidRPr="00834369" w:rsidRDefault="00706197" w:rsidP="00706197">
      <w:pPr>
        <w:pStyle w:val="TM2"/>
        <w:tabs>
          <w:tab w:val="right" w:leader="dot" w:pos="9622"/>
        </w:tabs>
        <w:rPr>
          <w:rFonts w:ascii="Calibri" w:hAnsi="Calibri"/>
          <w:noProof/>
          <w:sz w:val="22"/>
          <w:lang w:val="fr-FR"/>
        </w:rPr>
      </w:pPr>
      <w:r>
        <w:rPr>
          <w:rFonts w:ascii="Arial Narrow" w:eastAsia="Arial Narrow" w:hAnsi="Arial Narrow" w:cs="Arial Narrow"/>
          <w:color w:val="000000"/>
          <w:lang w:val="fr-FR"/>
        </w:rPr>
        <w:t>9.2 - Procédures de recours</w:t>
      </w:r>
      <w:r w:rsidRPr="00834369">
        <w:rPr>
          <w:rFonts w:ascii="Arial Narrow" w:eastAsia="Arial Narrow" w:hAnsi="Arial Narrow" w:cs="Arial Narrow"/>
          <w:lang w:val="fr-FR"/>
        </w:rPr>
        <w:tab/>
        <w:t>9</w:t>
      </w:r>
    </w:p>
    <w:p w:rsidR="00E25241" w:rsidRPr="008E7B62" w:rsidRDefault="00B84953" w:rsidP="00706197">
      <w:pPr>
        <w:spacing w:after="120"/>
        <w:ind w:left="20" w:right="20"/>
        <w:jc w:val="center"/>
        <w:rPr>
          <w:rFonts w:ascii="Arial" w:eastAsia="Arial Narrow" w:hAnsi="Arial" w:cs="Arial"/>
          <w:b/>
          <w:color w:val="000000"/>
          <w:lang w:val="fr-FR"/>
        </w:rPr>
      </w:pPr>
      <w:r>
        <w:rPr>
          <w:rFonts w:ascii="Arial Narrow" w:eastAsia="Arial Narrow" w:hAnsi="Arial Narrow" w:cs="Arial Narrow"/>
          <w:color w:val="000000"/>
          <w:sz w:val="22"/>
          <w:lang w:val="fr-FR"/>
        </w:rPr>
        <w:fldChar w:fldCharType="end"/>
      </w:r>
    </w:p>
    <w:p w:rsidR="00E25241" w:rsidRDefault="00E25241"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706197" w:rsidP="00E25241">
      <w:pPr>
        <w:spacing w:after="80" w:line="240" w:lineRule="exact"/>
        <w:rPr>
          <w:rFonts w:ascii="Arial" w:hAnsi="Arial" w:cs="Arial"/>
          <w:lang w:val="fr-FR"/>
        </w:rPr>
      </w:pPr>
    </w:p>
    <w:p w:rsidR="00706197" w:rsidRDefault="00BA0DFD" w:rsidP="00E25241">
      <w:pPr>
        <w:spacing w:after="80" w:line="240" w:lineRule="exact"/>
        <w:rPr>
          <w:rFonts w:ascii="Arial" w:hAnsi="Arial" w:cs="Arial"/>
          <w:lang w:val="fr-FR"/>
        </w:rPr>
      </w:pPr>
      <w:r>
        <w:rPr>
          <w:rFonts w:ascii="Arial" w:hAnsi="Arial" w:cs="Arial"/>
          <w:lang w:val="fr-FR"/>
        </w:rPr>
        <w:t>*</w:t>
      </w:r>
    </w:p>
    <w:p w:rsidR="00BA0DFD" w:rsidRDefault="00BA0DFD" w:rsidP="00E25241">
      <w:pPr>
        <w:spacing w:after="80" w:line="240" w:lineRule="exact"/>
        <w:rPr>
          <w:rFonts w:ascii="Arial" w:hAnsi="Arial" w:cs="Arial"/>
          <w:lang w:val="fr-FR"/>
        </w:rPr>
      </w:pPr>
    </w:p>
    <w:p w:rsidR="00BA0DFD" w:rsidRDefault="00BA0DFD" w:rsidP="00E25241">
      <w:pPr>
        <w:spacing w:after="80" w:line="240" w:lineRule="exact"/>
        <w:rPr>
          <w:rFonts w:ascii="Arial" w:hAnsi="Arial" w:cs="Arial"/>
          <w:lang w:val="fr-FR"/>
        </w:rPr>
      </w:pPr>
    </w:p>
    <w:p w:rsidR="00706197" w:rsidRPr="008E7B62" w:rsidRDefault="00706197" w:rsidP="00E25241">
      <w:pPr>
        <w:spacing w:after="80" w:line="240" w:lineRule="exact"/>
        <w:rPr>
          <w:rFonts w:ascii="Arial" w:hAnsi="Arial" w:cs="Arial"/>
          <w:lang w:val="fr-FR"/>
        </w:rPr>
      </w:pPr>
    </w:p>
    <w:p w:rsidR="00E25241" w:rsidRPr="008E7B62" w:rsidRDefault="00E25241" w:rsidP="00E25241">
      <w:pPr>
        <w:spacing w:line="20" w:lineRule="exact"/>
        <w:rPr>
          <w:rFonts w:ascii="Arial" w:hAnsi="Arial" w:cs="Arial"/>
          <w:sz w:val="2"/>
          <w:lang w:val="fr-FR"/>
        </w:rPr>
      </w:pPr>
    </w:p>
    <w:p w:rsidR="00E25241" w:rsidRPr="008E7B62" w:rsidRDefault="00E25241" w:rsidP="00E25241">
      <w:pPr>
        <w:pStyle w:val="Titre1"/>
        <w:rPr>
          <w:rFonts w:eastAsia="Arial Narrow"/>
          <w:color w:val="000000"/>
          <w:sz w:val="28"/>
          <w:lang w:val="fr-FR"/>
        </w:rPr>
      </w:pPr>
      <w:bookmarkStart w:id="0" w:name="_Toc256000000"/>
      <w:r w:rsidRPr="008E7B62">
        <w:rPr>
          <w:rFonts w:eastAsia="Arial Narrow"/>
          <w:color w:val="000000"/>
          <w:sz w:val="28"/>
          <w:lang w:val="fr-FR"/>
        </w:rPr>
        <w:lastRenderedPageBreak/>
        <w:t>1 - Objet et étendue de la consultation</w:t>
      </w:r>
      <w:bookmarkEnd w:id="0"/>
    </w:p>
    <w:p w:rsidR="00E25241" w:rsidRPr="008E7B62" w:rsidRDefault="00E25241" w:rsidP="00E25241">
      <w:pPr>
        <w:pStyle w:val="Titre2"/>
        <w:ind w:left="300" w:right="20"/>
        <w:jc w:val="both"/>
        <w:rPr>
          <w:rFonts w:eastAsia="Arial Narrow"/>
          <w:i w:val="0"/>
          <w:color w:val="000000"/>
          <w:sz w:val="24"/>
          <w:lang w:val="fr-FR"/>
        </w:rPr>
      </w:pPr>
      <w:bookmarkStart w:id="1" w:name="_Toc256000001"/>
      <w:r w:rsidRPr="008E7B62">
        <w:rPr>
          <w:rFonts w:eastAsia="Arial Narrow"/>
          <w:i w:val="0"/>
          <w:color w:val="000000"/>
          <w:sz w:val="24"/>
          <w:lang w:val="fr-FR"/>
        </w:rPr>
        <w:t>1.1 - Objet</w:t>
      </w:r>
      <w:bookmarkEnd w:id="1"/>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La présente consultation concerne :</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Remise à niveau de la demi-pension du lycée Blaise Pascal de Clermont-Ferrand</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Lieu d'exécution :</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Lycée Blaise Pascal de Clermont-Ferrand</w:t>
      </w:r>
    </w:p>
    <w:p w:rsidR="00E25241" w:rsidRPr="008E7B62" w:rsidRDefault="00E25241" w:rsidP="00E25241">
      <w:pPr>
        <w:pStyle w:val="Titre2"/>
        <w:ind w:left="300" w:right="20"/>
        <w:jc w:val="both"/>
        <w:rPr>
          <w:rFonts w:eastAsia="Arial Narrow"/>
          <w:i w:val="0"/>
          <w:color w:val="000000"/>
          <w:sz w:val="24"/>
          <w:lang w:val="fr-FR"/>
        </w:rPr>
      </w:pPr>
      <w:bookmarkStart w:id="2" w:name="_Toc256000002"/>
      <w:r w:rsidRPr="008E7B62">
        <w:rPr>
          <w:rFonts w:eastAsia="Arial Narrow"/>
          <w:i w:val="0"/>
          <w:color w:val="000000"/>
          <w:sz w:val="24"/>
          <w:lang w:val="fr-FR"/>
        </w:rPr>
        <w:t>1.2 - Mode de passation</w:t>
      </w:r>
      <w:bookmarkEnd w:id="2"/>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La procédure de passation utilisée est : la procédure adaptée ouverte. Elle est soumise aux dispositions des articles L. 2123-1 et R. 2123-1 1° du Code de la commande publique.</w:t>
      </w:r>
    </w:p>
    <w:p w:rsidR="00E25241" w:rsidRPr="008E7B62" w:rsidRDefault="00E25241" w:rsidP="00E25241">
      <w:pPr>
        <w:pStyle w:val="Titre2"/>
        <w:ind w:left="300" w:right="20"/>
        <w:jc w:val="both"/>
        <w:rPr>
          <w:rFonts w:eastAsia="Arial Narrow"/>
          <w:i w:val="0"/>
          <w:color w:val="000000"/>
          <w:sz w:val="24"/>
          <w:lang w:val="fr-FR"/>
        </w:rPr>
      </w:pPr>
      <w:bookmarkStart w:id="3" w:name="_Toc256000003"/>
      <w:r w:rsidRPr="008E7B62">
        <w:rPr>
          <w:rFonts w:eastAsia="Arial Narrow"/>
          <w:i w:val="0"/>
          <w:color w:val="000000"/>
          <w:sz w:val="24"/>
          <w:lang w:val="fr-FR"/>
        </w:rPr>
        <w:t>1.3 - Type et forme de contrat</w:t>
      </w:r>
      <w:bookmarkEnd w:id="3"/>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Il s'agit d'un marché ordinaire.</w:t>
      </w:r>
    </w:p>
    <w:p w:rsidR="00E25241" w:rsidRPr="008E7B62" w:rsidRDefault="00E25241" w:rsidP="00E25241">
      <w:pPr>
        <w:pStyle w:val="Titre2"/>
        <w:ind w:left="300" w:right="20"/>
        <w:jc w:val="both"/>
        <w:rPr>
          <w:rFonts w:eastAsia="Arial Narrow"/>
          <w:i w:val="0"/>
          <w:color w:val="000000"/>
          <w:sz w:val="24"/>
          <w:lang w:val="fr-FR"/>
        </w:rPr>
      </w:pPr>
      <w:bookmarkStart w:id="4" w:name="_Toc256000004"/>
      <w:r w:rsidRPr="008E7B62">
        <w:rPr>
          <w:rFonts w:eastAsia="Arial Narrow"/>
          <w:i w:val="0"/>
          <w:color w:val="000000"/>
          <w:sz w:val="24"/>
          <w:lang w:val="fr-FR"/>
        </w:rPr>
        <w:t>1.4 - Décomposition de la consultation</w:t>
      </w:r>
      <w:bookmarkEnd w:id="4"/>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xml:space="preserve">Les prestations sont réparties en </w:t>
      </w:r>
      <w:r w:rsidR="008E7B62" w:rsidRPr="008E7B62">
        <w:rPr>
          <w:rFonts w:ascii="Arial" w:hAnsi="Arial" w:cs="Arial"/>
          <w:color w:val="000000"/>
          <w:lang w:val="fr-FR"/>
        </w:rPr>
        <w:t>3</w:t>
      </w:r>
      <w:r w:rsidRPr="008E7B62">
        <w:rPr>
          <w:rFonts w:ascii="Arial" w:hAnsi="Arial" w:cs="Arial"/>
          <w:color w:val="000000"/>
          <w:lang w:val="fr-FR"/>
        </w:rPr>
        <w:t xml:space="preserve"> lot</w:t>
      </w:r>
      <w:r w:rsidR="008E7B62" w:rsidRPr="008E7B62">
        <w:rPr>
          <w:rFonts w:ascii="Arial" w:hAnsi="Arial" w:cs="Arial"/>
          <w:color w:val="000000"/>
          <w:lang w:val="fr-FR"/>
        </w:rPr>
        <w:t>s</w:t>
      </w:r>
      <w:r w:rsidRPr="008E7B62">
        <w:rPr>
          <w:rFonts w:ascii="Arial" w:hAnsi="Arial" w:cs="Arial"/>
          <w:color w:val="000000"/>
          <w:lang w:val="fr-FR"/>
        </w:rPr>
        <w:t xml:space="preserve"> :</w:t>
      </w:r>
    </w:p>
    <w:p w:rsidR="00E25241" w:rsidRPr="008E7B62" w:rsidRDefault="00E25241" w:rsidP="00E25241">
      <w:pPr>
        <w:pStyle w:val="ParagrapheIndent2"/>
        <w:spacing w:line="275" w:lineRule="exact"/>
        <w:ind w:left="20" w:right="20"/>
        <w:jc w:val="both"/>
        <w:rPr>
          <w:rFonts w:ascii="Arial" w:hAnsi="Arial" w:cs="Arial"/>
          <w:color w:val="000000"/>
          <w:lang w:val="fr-FR"/>
        </w:rPr>
      </w:pPr>
    </w:p>
    <w:tbl>
      <w:tblPr>
        <w:tblW w:w="0" w:type="auto"/>
        <w:tblInd w:w="520" w:type="dxa"/>
        <w:tblLayout w:type="fixed"/>
        <w:tblLook w:val="04A0"/>
      </w:tblPr>
      <w:tblGrid>
        <w:gridCol w:w="1800"/>
        <w:gridCol w:w="6800"/>
      </w:tblGrid>
      <w:tr w:rsidR="00E25241" w:rsidRPr="008E7B62" w:rsidTr="003F4014">
        <w:trPr>
          <w:trHeight w:val="306"/>
        </w:trPr>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Lot(s)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Désignation</w:t>
            </w:r>
          </w:p>
        </w:tc>
      </w:tr>
      <w:tr w:rsidR="008E7B62" w:rsidRPr="008E7B62" w:rsidTr="003F4014">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40" w:right="40"/>
              <w:jc w:val="center"/>
              <w:rPr>
                <w:rFonts w:ascii="Arial" w:eastAsia="Arial Narrow" w:hAnsi="Arial" w:cs="Arial"/>
                <w:color w:val="000000"/>
                <w:lang w:val="fr-FR"/>
              </w:rPr>
            </w:pPr>
            <w:r w:rsidRPr="008E7B62">
              <w:rPr>
                <w:rFonts w:ascii="Arial" w:eastAsia="Arial Narrow" w:hAnsi="Arial" w:cs="Arial"/>
                <w:color w:val="000000"/>
                <w:lang w:val="fr-FR"/>
              </w:rPr>
              <w:t>MACONNERIE</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Maçonnerie</w:t>
            </w:r>
          </w:p>
        </w:tc>
      </w:tr>
      <w:tr w:rsidR="008E7B62" w:rsidRPr="008E7B62" w:rsidTr="003F4014">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40" w:right="40"/>
              <w:jc w:val="center"/>
              <w:rPr>
                <w:rFonts w:ascii="Arial" w:eastAsia="Arial Narrow" w:hAnsi="Arial" w:cs="Arial"/>
                <w:color w:val="000000"/>
                <w:lang w:val="fr-FR"/>
              </w:rPr>
            </w:pPr>
            <w:r w:rsidRPr="008E7B62">
              <w:rPr>
                <w:rFonts w:ascii="Arial" w:eastAsia="Arial Narrow" w:hAnsi="Arial" w:cs="Arial"/>
                <w:color w:val="000000"/>
                <w:lang w:val="fr-FR"/>
              </w:rPr>
              <w:t>ELECTRICITE</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Electricité</w:t>
            </w:r>
          </w:p>
        </w:tc>
      </w:tr>
      <w:tr w:rsidR="008E7B62" w:rsidRPr="000D388A" w:rsidTr="003F4014">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8E7B62">
            <w:pPr>
              <w:tabs>
                <w:tab w:val="left" w:pos="353"/>
                <w:tab w:val="center" w:pos="897"/>
              </w:tabs>
              <w:spacing w:before="80" w:after="20"/>
              <w:ind w:left="40" w:right="40"/>
              <w:jc w:val="center"/>
              <w:rPr>
                <w:rFonts w:ascii="Arial" w:eastAsia="Arial Narrow" w:hAnsi="Arial" w:cs="Arial"/>
                <w:color w:val="000000"/>
                <w:lang w:val="fr-FR"/>
              </w:rPr>
            </w:pPr>
            <w:r w:rsidRPr="008E7B62">
              <w:rPr>
                <w:rFonts w:ascii="Arial" w:eastAsia="Arial Narrow" w:hAnsi="Arial" w:cs="Arial"/>
                <w:color w:val="000000"/>
                <w:lang w:val="fr-FR"/>
              </w:rPr>
              <w:t>EQUIPEMENT LAVERIE ET CLOISONS</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8E7B62">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Equipement laverie et cloisons agroalimentaires</w:t>
            </w:r>
          </w:p>
        </w:tc>
      </w:tr>
    </w:tbl>
    <w:p w:rsidR="00E25241" w:rsidRPr="008E7B62" w:rsidRDefault="00E25241" w:rsidP="00E25241">
      <w:pPr>
        <w:spacing w:line="240" w:lineRule="exact"/>
        <w:rPr>
          <w:rFonts w:ascii="Arial" w:hAnsi="Arial" w:cs="Arial"/>
          <w:lang w:val="fr-FR"/>
        </w:rPr>
      </w:pPr>
      <w:r w:rsidRPr="008E7B62">
        <w:rPr>
          <w:rFonts w:ascii="Arial" w:hAnsi="Arial" w:cs="Arial"/>
          <w:lang w:val="fr-FR"/>
        </w:rPr>
        <w:t xml:space="preserve"> </w:t>
      </w:r>
    </w:p>
    <w:p w:rsidR="00E25241" w:rsidRPr="008E7B62" w:rsidRDefault="00E25241" w:rsidP="00E25241">
      <w:pPr>
        <w:spacing w:after="80" w:line="240" w:lineRule="exact"/>
        <w:rPr>
          <w:rFonts w:ascii="Arial" w:hAnsi="Arial" w:cs="Arial"/>
          <w:lang w:val="fr-FR"/>
        </w:rPr>
      </w:pP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Chaque lot fera l'objet d'un marché.</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Les candidats ont la possibilité de soumettre des offres pour tous les lots.</w:t>
      </w:r>
    </w:p>
    <w:p w:rsidR="00E25241" w:rsidRPr="008E7B62" w:rsidRDefault="00E25241" w:rsidP="00E25241">
      <w:pPr>
        <w:pStyle w:val="Titre2"/>
        <w:ind w:left="300" w:right="20"/>
        <w:jc w:val="both"/>
        <w:rPr>
          <w:rFonts w:eastAsia="Arial Narrow"/>
          <w:i w:val="0"/>
          <w:color w:val="000000"/>
          <w:sz w:val="24"/>
          <w:lang w:val="fr-FR"/>
        </w:rPr>
      </w:pPr>
      <w:bookmarkStart w:id="5" w:name="_Toc256000005"/>
      <w:r w:rsidRPr="008E7B62">
        <w:rPr>
          <w:rFonts w:eastAsia="Arial Narrow"/>
          <w:i w:val="0"/>
          <w:color w:val="000000"/>
          <w:sz w:val="24"/>
          <w:lang w:val="fr-FR"/>
        </w:rPr>
        <w:t>1.5 - Nomenclature</w:t>
      </w:r>
      <w:bookmarkEnd w:id="5"/>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La classification conforme au vocabulaire commun des marchés européens (CPV) est :</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p>
    <w:tbl>
      <w:tblPr>
        <w:tblW w:w="0" w:type="auto"/>
        <w:tblInd w:w="20" w:type="dxa"/>
        <w:tblLayout w:type="fixed"/>
        <w:tblLook w:val="04A0"/>
      </w:tblPr>
      <w:tblGrid>
        <w:gridCol w:w="9614"/>
      </w:tblGrid>
      <w:tr w:rsidR="00E25241" w:rsidRPr="008E7B62" w:rsidTr="008E7B62">
        <w:trPr>
          <w:trHeight w:val="716"/>
        </w:trPr>
        <w:tc>
          <w:tcPr>
            <w:tcW w:w="96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W w:w="9626" w:type="dxa"/>
              <w:tblLayout w:type="fixed"/>
              <w:tblLook w:val="04A0"/>
            </w:tblPr>
            <w:tblGrid>
              <w:gridCol w:w="1681"/>
              <w:gridCol w:w="1843"/>
              <w:gridCol w:w="6102"/>
            </w:tblGrid>
            <w:tr w:rsidR="00E25241" w:rsidRPr="008E7B62" w:rsidTr="003F4014">
              <w:trPr>
                <w:trHeight w:val="427"/>
              </w:trPr>
              <w:tc>
                <w:tcPr>
                  <w:tcW w:w="1681" w:type="dxa"/>
                  <w:tcBorders>
                    <w:top w:val="single" w:sz="2" w:space="0" w:color="000000"/>
                    <w:left w:val="single" w:sz="2" w:space="0" w:color="000000"/>
                    <w:bottom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180" w:after="60"/>
                    <w:jc w:val="center"/>
                    <w:rPr>
                      <w:rFonts w:ascii="Arial" w:eastAsia="Arial Narrow" w:hAnsi="Arial" w:cs="Arial"/>
                      <w:color w:val="000000"/>
                      <w:lang w:val="fr-FR"/>
                    </w:rPr>
                  </w:pPr>
                  <w:r w:rsidRPr="008E7B62">
                    <w:rPr>
                      <w:rFonts w:ascii="Arial" w:eastAsia="Arial Narrow" w:hAnsi="Arial" w:cs="Arial"/>
                      <w:color w:val="000000"/>
                      <w:lang w:val="fr-FR"/>
                    </w:rPr>
                    <w:t>Lot(s)</w:t>
                  </w:r>
                </w:p>
              </w:tc>
              <w:tc>
                <w:tcPr>
                  <w:tcW w:w="1843"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180" w:after="60"/>
                    <w:jc w:val="center"/>
                    <w:rPr>
                      <w:rFonts w:ascii="Arial" w:eastAsia="Arial Narrow" w:hAnsi="Arial" w:cs="Arial"/>
                      <w:color w:val="000000"/>
                      <w:lang w:val="fr-FR"/>
                    </w:rPr>
                  </w:pPr>
                  <w:r w:rsidRPr="008E7B62">
                    <w:rPr>
                      <w:rFonts w:ascii="Arial" w:eastAsia="Arial Narrow" w:hAnsi="Arial" w:cs="Arial"/>
                      <w:color w:val="000000"/>
                      <w:lang w:val="fr-FR"/>
                    </w:rPr>
                    <w:t xml:space="preserve">Code </w:t>
                  </w:r>
                </w:p>
              </w:tc>
              <w:tc>
                <w:tcPr>
                  <w:tcW w:w="6102"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180" w:after="60"/>
                    <w:jc w:val="center"/>
                    <w:rPr>
                      <w:rFonts w:ascii="Arial" w:eastAsia="Arial Narrow" w:hAnsi="Arial" w:cs="Arial"/>
                      <w:color w:val="000000"/>
                      <w:lang w:val="fr-FR"/>
                    </w:rPr>
                  </w:pPr>
                  <w:r w:rsidRPr="008E7B62">
                    <w:rPr>
                      <w:rFonts w:ascii="Arial" w:eastAsia="Arial Narrow" w:hAnsi="Arial" w:cs="Arial"/>
                      <w:color w:val="000000"/>
                      <w:lang w:val="fr-FR"/>
                    </w:rPr>
                    <w:t>Description</w:t>
                  </w:r>
                </w:p>
                <w:p w:rsidR="00E25241" w:rsidRPr="008E7B62" w:rsidRDefault="00E25241" w:rsidP="003F4014">
                  <w:pPr>
                    <w:spacing w:before="180" w:after="60"/>
                    <w:jc w:val="center"/>
                    <w:rPr>
                      <w:rFonts w:ascii="Arial" w:eastAsia="Arial Narrow" w:hAnsi="Arial" w:cs="Arial"/>
                      <w:color w:val="000000"/>
                      <w:lang w:val="fr-FR"/>
                    </w:rPr>
                  </w:pPr>
                  <w:r w:rsidRPr="008E7B62">
                    <w:rPr>
                      <w:rFonts w:ascii="Arial" w:eastAsia="Arial Narrow" w:hAnsi="Arial" w:cs="Arial"/>
                      <w:color w:val="000000"/>
                      <w:lang w:val="fr-FR"/>
                    </w:rPr>
                    <w:t xml:space="preserve"> </w:t>
                  </w:r>
                </w:p>
              </w:tc>
            </w:tr>
            <w:tr w:rsidR="008E7B62" w:rsidRPr="008E7B62" w:rsidTr="003F4014">
              <w:trPr>
                <w:trHeight w:val="702"/>
              </w:trPr>
              <w:tc>
                <w:tcPr>
                  <w:tcW w:w="1681" w:type="dxa"/>
                  <w:tcBorders>
                    <w:top w:val="single" w:sz="2" w:space="0" w:color="000000"/>
                  </w:tcBorders>
                  <w:tcMar>
                    <w:top w:w="0" w:type="dxa"/>
                    <w:left w:w="0" w:type="dxa"/>
                    <w:bottom w:w="0" w:type="dxa"/>
                    <w:right w:w="0" w:type="dxa"/>
                  </w:tcMar>
                  <w:vAlign w:val="center"/>
                </w:tcPr>
                <w:p w:rsidR="008E7B62" w:rsidRPr="008E7B62" w:rsidRDefault="008E7B62" w:rsidP="003F4014">
                  <w:pPr>
                    <w:jc w:val="center"/>
                    <w:rPr>
                      <w:rFonts w:ascii="Arial" w:eastAsia="Arial Narrow" w:hAnsi="Arial" w:cs="Arial"/>
                      <w:color w:val="000000"/>
                      <w:lang w:val="fr-FR"/>
                    </w:rPr>
                  </w:pPr>
                  <w:r w:rsidRPr="008E7B62">
                    <w:rPr>
                      <w:rFonts w:ascii="Arial" w:eastAsia="Arial Narrow" w:hAnsi="Arial" w:cs="Arial"/>
                      <w:color w:val="000000"/>
                      <w:lang w:val="fr-FR"/>
                    </w:rPr>
                    <w:t>MACONNERIE</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jc w:val="center"/>
                    <w:rPr>
                      <w:rFonts w:ascii="Arial" w:eastAsia="Arial Narrow" w:hAnsi="Arial" w:cs="Arial"/>
                      <w:color w:val="000000"/>
                      <w:lang w:val="fr-FR"/>
                    </w:rPr>
                  </w:pPr>
                  <w:r w:rsidRPr="008E7B62">
                    <w:rPr>
                      <w:rFonts w:ascii="Arial" w:eastAsia="Arial Narrow" w:hAnsi="Arial" w:cs="Arial"/>
                      <w:color w:val="000000"/>
                      <w:lang w:val="fr-FR"/>
                    </w:rPr>
                    <w:t>45262522-6</w:t>
                  </w:r>
                </w:p>
              </w:tc>
              <w:tc>
                <w:tcPr>
                  <w:tcW w:w="6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Travaux de maçonnerie</w:t>
                  </w:r>
                </w:p>
              </w:tc>
            </w:tr>
            <w:tr w:rsidR="008E7B62" w:rsidRPr="008E7B62" w:rsidTr="003F4014">
              <w:trPr>
                <w:trHeight w:val="702"/>
              </w:trPr>
              <w:tc>
                <w:tcPr>
                  <w:tcW w:w="1681" w:type="dxa"/>
                  <w:tcBorders>
                    <w:top w:val="single" w:sz="2" w:space="0" w:color="000000"/>
                  </w:tcBorders>
                  <w:tcMar>
                    <w:top w:w="0" w:type="dxa"/>
                    <w:left w:w="0" w:type="dxa"/>
                    <w:bottom w:w="0" w:type="dxa"/>
                    <w:right w:w="0" w:type="dxa"/>
                  </w:tcMar>
                  <w:vAlign w:val="center"/>
                </w:tcPr>
                <w:p w:rsidR="008E7B62" w:rsidRPr="008E7B62" w:rsidRDefault="008E7B62" w:rsidP="003F4014">
                  <w:pPr>
                    <w:jc w:val="center"/>
                    <w:rPr>
                      <w:rFonts w:ascii="Arial" w:eastAsia="Arial Narrow" w:hAnsi="Arial" w:cs="Arial"/>
                      <w:color w:val="000000"/>
                      <w:lang w:val="fr-FR"/>
                    </w:rPr>
                  </w:pPr>
                  <w:r w:rsidRPr="008E7B62">
                    <w:rPr>
                      <w:rFonts w:ascii="Arial" w:eastAsia="Arial Narrow" w:hAnsi="Arial" w:cs="Arial"/>
                      <w:color w:val="000000"/>
                      <w:lang w:val="fr-FR"/>
                    </w:rPr>
                    <w:t>ELECTRICITE</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jc w:val="center"/>
                    <w:rPr>
                      <w:rFonts w:ascii="Arial" w:eastAsia="Arial Narrow" w:hAnsi="Arial" w:cs="Arial"/>
                      <w:color w:val="000000"/>
                      <w:lang w:val="fr-FR"/>
                    </w:rPr>
                  </w:pPr>
                  <w:r w:rsidRPr="008E7B62">
                    <w:rPr>
                      <w:rFonts w:ascii="Arial" w:eastAsia="Arial Narrow" w:hAnsi="Arial" w:cs="Arial"/>
                      <w:color w:val="000000"/>
                      <w:lang w:val="fr-FR"/>
                    </w:rPr>
                    <w:t>09310000-5</w:t>
                  </w:r>
                </w:p>
              </w:tc>
              <w:tc>
                <w:tcPr>
                  <w:tcW w:w="6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Électricité</w:t>
                  </w:r>
                </w:p>
              </w:tc>
            </w:tr>
            <w:tr w:rsidR="008E7B62" w:rsidRPr="008E7B62" w:rsidTr="003F4014">
              <w:trPr>
                <w:trHeight w:val="702"/>
              </w:trPr>
              <w:tc>
                <w:tcPr>
                  <w:tcW w:w="1681" w:type="dxa"/>
                  <w:vMerge w:val="restart"/>
                  <w:tcBorders>
                    <w:top w:val="single" w:sz="2" w:space="0" w:color="000000"/>
                  </w:tcBorders>
                  <w:tcMar>
                    <w:top w:w="0" w:type="dxa"/>
                    <w:left w:w="0" w:type="dxa"/>
                    <w:bottom w:w="0" w:type="dxa"/>
                    <w:right w:w="0" w:type="dxa"/>
                  </w:tcMar>
                  <w:vAlign w:val="center"/>
                </w:tcPr>
                <w:p w:rsidR="008E7B62" w:rsidRPr="008E7B62" w:rsidRDefault="008E7B62" w:rsidP="003F4014">
                  <w:pPr>
                    <w:jc w:val="center"/>
                    <w:rPr>
                      <w:rFonts w:ascii="Arial" w:eastAsia="Arial Narrow" w:hAnsi="Arial" w:cs="Arial"/>
                      <w:color w:val="000000"/>
                      <w:lang w:val="fr-FR"/>
                    </w:rPr>
                  </w:pPr>
                  <w:r w:rsidRPr="008E7B62">
                    <w:rPr>
                      <w:rFonts w:ascii="Arial" w:eastAsia="Arial Narrow" w:hAnsi="Arial" w:cs="Arial"/>
                      <w:color w:val="000000"/>
                      <w:lang w:val="fr-FR"/>
                    </w:rPr>
                    <w:t>EQUIPEMENT LAVERIE ET CLOISONS</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B84953" w:rsidP="008E7B62">
                  <w:pPr>
                    <w:spacing w:before="80" w:after="20"/>
                    <w:jc w:val="center"/>
                    <w:rPr>
                      <w:rFonts w:ascii="Arial" w:eastAsia="Arial Narrow" w:hAnsi="Arial" w:cs="Arial"/>
                      <w:color w:val="000000" w:themeColor="text1"/>
                      <w:lang w:val="fr-FR"/>
                    </w:rPr>
                  </w:pPr>
                  <w:hyperlink r:id="rId7" w:history="1">
                    <w:r w:rsidR="000D388A">
                      <w:rPr>
                        <w:rStyle w:val="Lienhypertexte"/>
                        <w:rFonts w:ascii="Arial" w:hAnsi="Arial" w:cs="Arial"/>
                        <w:color w:val="000000" w:themeColor="text1"/>
                        <w:u w:val="none"/>
                      </w:rPr>
                      <w:t>42971000-3</w:t>
                    </w:r>
                    <w:r w:rsidR="008E7B62" w:rsidRPr="008E7B62">
                      <w:rPr>
                        <w:rStyle w:val="Lienhypertexte"/>
                        <w:rFonts w:ascii="Arial" w:hAnsi="Arial" w:cs="Arial"/>
                        <w:color w:val="000000" w:themeColor="text1"/>
                        <w:u w:val="none"/>
                      </w:rPr>
                      <w:t xml:space="preserve"> </w:t>
                    </w:r>
                  </w:hyperlink>
                </w:p>
              </w:tc>
              <w:tc>
                <w:tcPr>
                  <w:tcW w:w="6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Pièces pour lave-vaisselle</w:t>
                  </w:r>
                </w:p>
              </w:tc>
            </w:tr>
            <w:tr w:rsidR="008E7B62" w:rsidRPr="008E7B62" w:rsidTr="005110FE">
              <w:trPr>
                <w:trHeight w:val="702"/>
              </w:trPr>
              <w:tc>
                <w:tcPr>
                  <w:tcW w:w="1681" w:type="dxa"/>
                  <w:vMerge/>
                  <w:tcMar>
                    <w:top w:w="0" w:type="dxa"/>
                    <w:left w:w="0" w:type="dxa"/>
                    <w:bottom w:w="0" w:type="dxa"/>
                    <w:right w:w="0" w:type="dxa"/>
                  </w:tcMar>
                  <w:vAlign w:val="center"/>
                </w:tcPr>
                <w:p w:rsidR="008E7B62" w:rsidRPr="008E7B62" w:rsidRDefault="008E7B62" w:rsidP="003F4014">
                  <w:pPr>
                    <w:jc w:val="center"/>
                    <w:rPr>
                      <w:rFonts w:ascii="Arial" w:eastAsia="Arial Narrow" w:hAnsi="Arial" w:cs="Arial"/>
                      <w:color w:val="000000"/>
                      <w:lang w:val="fr-FR"/>
                    </w:rPr>
                  </w:pP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jc w:val="center"/>
                    <w:rPr>
                      <w:rFonts w:ascii="Arial" w:eastAsia="Arial Narrow" w:hAnsi="Arial" w:cs="Arial"/>
                      <w:color w:val="000000"/>
                      <w:lang w:val="fr-FR"/>
                    </w:rPr>
                  </w:pPr>
                  <w:r w:rsidRPr="008E7B62">
                    <w:rPr>
                      <w:rFonts w:ascii="Arial" w:eastAsia="Arial Narrow" w:hAnsi="Arial" w:cs="Arial"/>
                      <w:color w:val="000000"/>
                      <w:lang w:val="fr-FR"/>
                    </w:rPr>
                    <w:t>44112300-1</w:t>
                  </w:r>
                </w:p>
              </w:tc>
              <w:tc>
                <w:tcPr>
                  <w:tcW w:w="6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Cloisons</w:t>
                  </w:r>
                </w:p>
              </w:tc>
            </w:tr>
            <w:tr w:rsidR="008E7B62" w:rsidRPr="008E7B62" w:rsidTr="00893F67">
              <w:trPr>
                <w:trHeight w:val="702"/>
              </w:trPr>
              <w:tc>
                <w:tcPr>
                  <w:tcW w:w="1681" w:type="dxa"/>
                  <w:tcBorders>
                    <w:top w:val="single" w:sz="2" w:space="0" w:color="000000"/>
                  </w:tcBorders>
                  <w:tcMar>
                    <w:top w:w="0" w:type="dxa"/>
                    <w:left w:w="0" w:type="dxa"/>
                    <w:bottom w:w="0" w:type="dxa"/>
                    <w:right w:w="0" w:type="dxa"/>
                  </w:tcMar>
                </w:tcPr>
                <w:p w:rsidR="008E7B62" w:rsidRPr="00834369" w:rsidRDefault="008E7B62" w:rsidP="003F4014">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jc w:val="center"/>
                    <w:rPr>
                      <w:rFonts w:ascii="Arial" w:hAnsi="Arial" w:cs="Arial"/>
                      <w:sz w:val="2"/>
                      <w:lang w:val="fr-FR"/>
                    </w:rPr>
                  </w:pPr>
                  <w:r w:rsidRPr="008E7B62">
                    <w:rPr>
                      <w:rFonts w:ascii="Arial" w:eastAsia="Arial Narrow" w:hAnsi="Arial" w:cs="Arial"/>
                      <w:color w:val="000000"/>
                      <w:lang w:val="fr-FR"/>
                    </w:rPr>
                    <w:t>EQUIPEMENT LAVERIE ET CLOISONS</w:t>
                  </w: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rPr>
                      <w:rFonts w:ascii="Arial" w:hAnsi="Arial" w:cs="Arial"/>
                      <w:sz w:val="2"/>
                      <w:lang w:val="fr-FR"/>
                    </w:rPr>
                  </w:pPr>
                </w:p>
                <w:p w:rsidR="008E7B62" w:rsidRPr="00834369" w:rsidRDefault="008E7B62" w:rsidP="008E7B62">
                  <w:pPr>
                    <w:jc w:val="center"/>
                    <w:rPr>
                      <w:rFonts w:ascii="Arial" w:hAnsi="Arial" w:cs="Arial"/>
                      <w:sz w:val="2"/>
                      <w:lang w:val="fr-FR"/>
                    </w:rPr>
                  </w:pPr>
                  <w:r w:rsidRPr="00834369">
                    <w:rPr>
                      <w:rFonts w:ascii="Arial" w:hAnsi="Arial" w:cs="Arial"/>
                      <w:sz w:val="2"/>
                      <w:lang w:val="fr-FR"/>
                    </w:rPr>
                    <w:t>e</w:t>
                  </w:r>
                </w:p>
              </w:tc>
              <w:tc>
                <w:tcPr>
                  <w:tcW w:w="184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jc w:val="center"/>
                    <w:rPr>
                      <w:rFonts w:ascii="Arial" w:eastAsia="Arial Narrow" w:hAnsi="Arial" w:cs="Arial"/>
                      <w:color w:val="000000"/>
                      <w:lang w:val="fr-FR"/>
                    </w:rPr>
                  </w:pPr>
                  <w:r w:rsidRPr="008E7B62">
                    <w:rPr>
                      <w:rFonts w:ascii="Arial" w:eastAsia="Arial Narrow" w:hAnsi="Arial" w:cs="Arial"/>
                      <w:color w:val="000000"/>
                      <w:lang w:val="fr-FR"/>
                    </w:rPr>
                    <w:t>45421152-4</w:t>
                  </w:r>
                </w:p>
              </w:tc>
              <w:tc>
                <w:tcPr>
                  <w:tcW w:w="61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E7B62" w:rsidRPr="008E7B62" w:rsidRDefault="008E7B62" w:rsidP="003F4014">
                  <w:pPr>
                    <w:spacing w:before="80" w:after="20"/>
                    <w:ind w:left="80" w:right="80"/>
                    <w:jc w:val="both"/>
                    <w:rPr>
                      <w:rFonts w:ascii="Arial" w:eastAsia="Arial Narrow" w:hAnsi="Arial" w:cs="Arial"/>
                      <w:color w:val="000000"/>
                      <w:lang w:val="fr-FR"/>
                    </w:rPr>
                  </w:pPr>
                  <w:r w:rsidRPr="008E7B62">
                    <w:rPr>
                      <w:rFonts w:ascii="Arial" w:eastAsia="Arial Narrow" w:hAnsi="Arial" w:cs="Arial"/>
                      <w:color w:val="000000"/>
                      <w:lang w:val="fr-FR"/>
                    </w:rPr>
                    <w:t>Installation de cloisons</w:t>
                  </w:r>
                </w:p>
              </w:tc>
            </w:tr>
          </w:tbl>
          <w:p w:rsidR="00E25241" w:rsidRPr="008E7B62" w:rsidRDefault="00E25241" w:rsidP="003F4014">
            <w:pPr>
              <w:rPr>
                <w:rFonts w:ascii="Arial" w:hAnsi="Arial" w:cs="Arial"/>
                <w:sz w:val="2"/>
              </w:rPr>
            </w:pPr>
          </w:p>
        </w:tc>
      </w:tr>
    </w:tbl>
    <w:p w:rsidR="00E25241" w:rsidRPr="008E7B62" w:rsidRDefault="00E25241" w:rsidP="00E25241">
      <w:pPr>
        <w:spacing w:line="240" w:lineRule="exact"/>
        <w:rPr>
          <w:rFonts w:ascii="Arial" w:hAnsi="Arial" w:cs="Arial"/>
          <w:lang w:val="fr-FR"/>
        </w:rPr>
      </w:pPr>
    </w:p>
    <w:p w:rsidR="00E25241" w:rsidRPr="008E7B62" w:rsidRDefault="00E25241" w:rsidP="00E25241">
      <w:pPr>
        <w:spacing w:after="80" w:line="240" w:lineRule="exact"/>
        <w:rPr>
          <w:rFonts w:ascii="Arial" w:hAnsi="Arial" w:cs="Arial"/>
          <w:lang w:val="fr-FR"/>
        </w:rPr>
      </w:pPr>
    </w:p>
    <w:p w:rsidR="00E25241" w:rsidRPr="008E7B62" w:rsidRDefault="00E25241" w:rsidP="00E25241">
      <w:pPr>
        <w:pStyle w:val="Titre1"/>
        <w:rPr>
          <w:rFonts w:eastAsia="Arial Narrow"/>
          <w:color w:val="000000"/>
          <w:sz w:val="28"/>
          <w:lang w:val="fr-FR"/>
        </w:rPr>
      </w:pPr>
      <w:bookmarkStart w:id="6" w:name="_Toc256000006"/>
      <w:r w:rsidRPr="008E7B62">
        <w:rPr>
          <w:rFonts w:eastAsia="Arial Narrow"/>
          <w:color w:val="000000"/>
          <w:sz w:val="28"/>
          <w:lang w:val="fr-FR"/>
        </w:rPr>
        <w:t>2 - Conditions de la consultation</w:t>
      </w:r>
      <w:bookmarkEnd w:id="6"/>
    </w:p>
    <w:p w:rsidR="00E25241" w:rsidRPr="008E7B62" w:rsidRDefault="00E25241" w:rsidP="00E25241">
      <w:pPr>
        <w:pStyle w:val="Titre2"/>
        <w:ind w:left="300" w:right="20"/>
        <w:jc w:val="both"/>
        <w:rPr>
          <w:rFonts w:eastAsia="Arial Narrow"/>
          <w:i w:val="0"/>
          <w:color w:val="000000"/>
          <w:sz w:val="24"/>
          <w:lang w:val="fr-FR"/>
        </w:rPr>
      </w:pPr>
      <w:bookmarkStart w:id="7" w:name="_Toc256000007"/>
      <w:r w:rsidRPr="008E7B62">
        <w:rPr>
          <w:rFonts w:eastAsia="Arial Narrow"/>
          <w:i w:val="0"/>
          <w:color w:val="000000"/>
          <w:sz w:val="24"/>
          <w:lang w:val="fr-FR"/>
        </w:rPr>
        <w:t>2.1 - Délai de validité des offres</w:t>
      </w:r>
      <w:bookmarkEnd w:id="7"/>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Le délai de validité des offres est fixé à 120 jours à compter de la date limite de réception des offres.</w:t>
      </w:r>
    </w:p>
    <w:p w:rsidR="00E25241" w:rsidRPr="008E7B62" w:rsidRDefault="00E25241" w:rsidP="00E25241">
      <w:pPr>
        <w:pStyle w:val="Titre2"/>
        <w:ind w:left="300" w:right="20"/>
        <w:jc w:val="both"/>
        <w:rPr>
          <w:rFonts w:eastAsia="Arial Narrow"/>
          <w:i w:val="0"/>
          <w:color w:val="000000"/>
          <w:sz w:val="24"/>
          <w:lang w:val="fr-FR"/>
        </w:rPr>
      </w:pPr>
      <w:bookmarkStart w:id="8" w:name="_Toc256000008"/>
      <w:r w:rsidRPr="008E7B62">
        <w:rPr>
          <w:rFonts w:eastAsia="Arial Narrow"/>
          <w:i w:val="0"/>
          <w:color w:val="000000"/>
          <w:sz w:val="24"/>
          <w:lang w:val="fr-FR"/>
        </w:rPr>
        <w:t>2.2 - Forme juridique du groupement</w:t>
      </w:r>
      <w:bookmarkEnd w:id="8"/>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Le pouvoir adjudicateur ne souhaite imposer aucune forme de groupement à l'attributaire du marché.</w:t>
      </w:r>
    </w:p>
    <w:p w:rsidR="00E25241" w:rsidRPr="008E7B62" w:rsidRDefault="00E25241" w:rsidP="00E25241">
      <w:pPr>
        <w:pStyle w:val="Titre2"/>
        <w:ind w:left="300" w:right="20"/>
        <w:jc w:val="both"/>
        <w:rPr>
          <w:rFonts w:eastAsia="Arial Narrow"/>
          <w:i w:val="0"/>
          <w:color w:val="000000"/>
          <w:sz w:val="24"/>
          <w:lang w:val="fr-FR"/>
        </w:rPr>
      </w:pPr>
      <w:bookmarkStart w:id="9" w:name="_Toc256000009"/>
      <w:r w:rsidRPr="008E7B62">
        <w:rPr>
          <w:rFonts w:eastAsia="Arial Narrow"/>
          <w:i w:val="0"/>
          <w:color w:val="000000"/>
          <w:sz w:val="24"/>
          <w:lang w:val="fr-FR"/>
        </w:rPr>
        <w:t>2.3 - Variantes</w:t>
      </w:r>
      <w:bookmarkEnd w:id="9"/>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Les variantes sont autorisées.</w:t>
      </w:r>
    </w:p>
    <w:p w:rsidR="00E25241" w:rsidRPr="008E7B62" w:rsidRDefault="00E25241" w:rsidP="00E25241">
      <w:pPr>
        <w:pStyle w:val="Titre1"/>
        <w:rPr>
          <w:rFonts w:eastAsia="Arial Narrow"/>
          <w:color w:val="000000"/>
          <w:sz w:val="28"/>
          <w:lang w:val="fr-FR"/>
        </w:rPr>
      </w:pPr>
      <w:bookmarkStart w:id="10" w:name="_Toc256000010"/>
      <w:r w:rsidRPr="008E7B62">
        <w:rPr>
          <w:rFonts w:eastAsia="Arial Narrow"/>
          <w:color w:val="000000"/>
          <w:sz w:val="28"/>
          <w:lang w:val="fr-FR"/>
        </w:rPr>
        <w:t>3 - Les intervenants</w:t>
      </w:r>
      <w:bookmarkEnd w:id="10"/>
    </w:p>
    <w:p w:rsidR="00E25241" w:rsidRPr="008E7B62" w:rsidRDefault="00E25241" w:rsidP="00E25241">
      <w:pPr>
        <w:pStyle w:val="Titre2"/>
        <w:ind w:left="300" w:right="20"/>
        <w:jc w:val="both"/>
        <w:rPr>
          <w:rFonts w:eastAsia="Arial Narrow"/>
          <w:i w:val="0"/>
          <w:color w:val="000000"/>
          <w:sz w:val="24"/>
          <w:lang w:val="fr-FR"/>
        </w:rPr>
      </w:pPr>
      <w:bookmarkStart w:id="11" w:name="_Toc256000011"/>
      <w:r w:rsidRPr="008E7B62">
        <w:rPr>
          <w:rFonts w:eastAsia="Arial Narrow"/>
          <w:i w:val="0"/>
          <w:color w:val="000000"/>
          <w:sz w:val="24"/>
          <w:lang w:val="fr-FR"/>
        </w:rPr>
        <w:t>3.1 - Maîtrise d'</w:t>
      </w:r>
      <w:bookmarkEnd w:id="11"/>
      <w:r w:rsidRPr="008E7B62">
        <w:rPr>
          <w:rFonts w:eastAsia="Arial Narrow"/>
          <w:i w:val="0"/>
          <w:color w:val="000000"/>
          <w:sz w:val="24"/>
          <w:lang w:val="fr-FR"/>
        </w:rPr>
        <w:t>œuvre</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maîtrise d'œuvre est assurée par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GRANDES CUISINES INGENIERIE</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140 RUE CLEMENT ADER</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63110 BEAUMONT</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xml:space="preserve">Courriel : </w:t>
      </w:r>
      <w:hyperlink r:id="rId8" w:history="1">
        <w:r w:rsidR="008E7B62" w:rsidRPr="008E7B62">
          <w:rPr>
            <w:rStyle w:val="Lienhypertexte"/>
            <w:rFonts w:ascii="Arial" w:hAnsi="Arial" w:cs="Arial"/>
            <w:lang w:val="fr-FR"/>
          </w:rPr>
          <w:t>contact@gc-ing.fr</w:t>
        </w:r>
      </w:hyperlink>
    </w:p>
    <w:p w:rsidR="008E7B62" w:rsidRPr="008E7B62" w:rsidRDefault="008E7B62" w:rsidP="008E7B62">
      <w:pPr>
        <w:pStyle w:val="Titre2"/>
        <w:ind w:left="300" w:right="20"/>
        <w:jc w:val="both"/>
        <w:rPr>
          <w:rFonts w:eastAsia="Arial Narrow"/>
          <w:i w:val="0"/>
          <w:color w:val="000000"/>
          <w:sz w:val="24"/>
          <w:lang w:val="fr-FR"/>
        </w:rPr>
      </w:pPr>
      <w:bookmarkStart w:id="12" w:name="_Toc256000012"/>
      <w:r w:rsidRPr="008E7B62">
        <w:rPr>
          <w:rFonts w:eastAsia="Arial Narrow"/>
          <w:i w:val="0"/>
          <w:color w:val="000000"/>
          <w:sz w:val="24"/>
          <w:lang w:val="fr-FR"/>
        </w:rPr>
        <w:t>3.2 - Contrôle technique</w:t>
      </w:r>
      <w:bookmarkEnd w:id="12"/>
    </w:p>
    <w:p w:rsidR="008E7B62" w:rsidRPr="008E7B62" w:rsidRDefault="008E7B62" w:rsidP="008E7B62">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Le contrôle technique est assuré par :</w:t>
      </w:r>
    </w:p>
    <w:p w:rsidR="008E7B62" w:rsidRPr="008E7B62" w:rsidRDefault="008E7B62" w:rsidP="008E7B62">
      <w:pPr>
        <w:pStyle w:val="ParagrapheIndent2"/>
        <w:spacing w:line="275" w:lineRule="exact"/>
        <w:ind w:left="20" w:right="20"/>
        <w:jc w:val="both"/>
        <w:rPr>
          <w:rFonts w:ascii="Arial" w:hAnsi="Arial" w:cs="Arial"/>
          <w:i/>
          <w:color w:val="000000"/>
          <w:lang w:val="fr-FR"/>
        </w:rPr>
      </w:pPr>
      <w:r w:rsidRPr="008E7B62">
        <w:rPr>
          <w:rFonts w:ascii="Arial" w:hAnsi="Arial" w:cs="Arial"/>
          <w:i/>
          <w:color w:val="000000"/>
          <w:lang w:val="fr-FR"/>
        </w:rPr>
        <w:t>En cours de consultation.</w:t>
      </w:r>
    </w:p>
    <w:p w:rsidR="008E7B62" w:rsidRPr="008E7B62" w:rsidRDefault="008E7B62" w:rsidP="008E7B62">
      <w:pPr>
        <w:pStyle w:val="ParagrapheIndent2"/>
        <w:spacing w:after="240" w:line="275" w:lineRule="exact"/>
        <w:ind w:left="20" w:right="20"/>
        <w:jc w:val="both"/>
        <w:rPr>
          <w:rFonts w:ascii="Arial" w:hAnsi="Arial" w:cs="Arial"/>
          <w:color w:val="000000"/>
          <w:lang w:val="fr-FR"/>
        </w:rPr>
      </w:pPr>
    </w:p>
    <w:p w:rsidR="008E7B62" w:rsidRPr="008E7B62" w:rsidRDefault="008E7B62" w:rsidP="008E7B62">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Les missions de contrôle technique sont les suivantes :</w:t>
      </w:r>
    </w:p>
    <w:p w:rsidR="008E7B62" w:rsidRPr="008E7B62" w:rsidRDefault="008E7B62" w:rsidP="008E7B62">
      <w:pPr>
        <w:pStyle w:val="ParagrapheIndent2"/>
        <w:spacing w:line="275" w:lineRule="exact"/>
        <w:ind w:left="20" w:right="20"/>
        <w:jc w:val="both"/>
        <w:rPr>
          <w:rFonts w:ascii="Arial" w:hAnsi="Arial" w:cs="Arial"/>
          <w:sz w:val="2"/>
          <w:lang w:val="fr-FR"/>
        </w:rPr>
      </w:pPr>
      <w:r w:rsidRPr="008E7B62">
        <w:rPr>
          <w:rFonts w:ascii="Arial" w:hAnsi="Arial" w:cs="Arial"/>
          <w:color w:val="000000"/>
          <w:lang w:val="fr-FR"/>
        </w:rPr>
        <w:t>L, LE et SEI.</w:t>
      </w:r>
      <w:r w:rsidRPr="008E7B62">
        <w:rPr>
          <w:rFonts w:ascii="Arial" w:hAnsi="Arial" w:cs="Arial"/>
          <w:color w:val="000000"/>
          <w:lang w:val="fr-FR"/>
        </w:rPr>
        <w:cr/>
      </w:r>
    </w:p>
    <w:p w:rsidR="008E7B62" w:rsidRPr="008E7B62" w:rsidRDefault="008E7B62" w:rsidP="008E7B62">
      <w:pPr>
        <w:pStyle w:val="Titre2"/>
        <w:ind w:left="300" w:right="20"/>
        <w:jc w:val="both"/>
        <w:rPr>
          <w:rFonts w:eastAsia="Arial Narrow"/>
          <w:i w:val="0"/>
          <w:color w:val="000000"/>
          <w:sz w:val="24"/>
          <w:lang w:val="fr-FR"/>
        </w:rPr>
      </w:pPr>
      <w:bookmarkStart w:id="13" w:name="_Toc256000013"/>
      <w:r w:rsidRPr="008E7B62">
        <w:rPr>
          <w:rFonts w:eastAsia="Arial Narrow"/>
          <w:i w:val="0"/>
          <w:color w:val="000000"/>
          <w:sz w:val="24"/>
          <w:lang w:val="fr-FR"/>
        </w:rPr>
        <w:t>3.3 - Sécurité et protection de la santé des travailleurs</w:t>
      </w:r>
      <w:bookmarkEnd w:id="13"/>
    </w:p>
    <w:p w:rsidR="008E7B62" w:rsidRPr="008E7B62" w:rsidRDefault="008E7B62" w:rsidP="008E7B62">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coordination sécurité et protection de la santé pour cette opération de niveau III sera assurée par :</w:t>
      </w:r>
    </w:p>
    <w:p w:rsidR="008E7B62" w:rsidRPr="008E7B62" w:rsidRDefault="008E7B62" w:rsidP="008E7B62">
      <w:pPr>
        <w:rPr>
          <w:rFonts w:ascii="Arial" w:hAnsi="Arial" w:cs="Arial"/>
          <w:i/>
          <w:lang w:val="fr-FR"/>
        </w:rPr>
      </w:pPr>
      <w:r w:rsidRPr="008E7B62">
        <w:rPr>
          <w:rFonts w:ascii="Arial" w:hAnsi="Arial" w:cs="Arial"/>
          <w:i/>
          <w:lang w:val="fr-FR"/>
        </w:rPr>
        <w:t>En cours de consultation.</w:t>
      </w:r>
    </w:p>
    <w:p w:rsidR="00E25241" w:rsidRPr="008E7B62" w:rsidRDefault="00E25241" w:rsidP="00E25241">
      <w:pPr>
        <w:spacing w:line="20" w:lineRule="exact"/>
        <w:rPr>
          <w:rFonts w:ascii="Arial" w:hAnsi="Arial" w:cs="Arial"/>
          <w:sz w:val="2"/>
          <w:lang w:val="fr-FR"/>
        </w:rPr>
      </w:pPr>
    </w:p>
    <w:p w:rsidR="00E25241" w:rsidRPr="008E7B62" w:rsidRDefault="00E25241" w:rsidP="00E25241">
      <w:pPr>
        <w:pStyle w:val="Titre1"/>
        <w:rPr>
          <w:rFonts w:eastAsia="Arial Narrow"/>
          <w:b w:val="0"/>
          <w:bCs w:val="0"/>
          <w:color w:val="000000"/>
          <w:kern w:val="0"/>
          <w:sz w:val="24"/>
          <w:szCs w:val="24"/>
          <w:lang w:val="fr-FR"/>
        </w:rPr>
      </w:pPr>
      <w:bookmarkStart w:id="14" w:name="_Toc256000014"/>
    </w:p>
    <w:p w:rsidR="00E25241" w:rsidRPr="008E7B62" w:rsidRDefault="00E25241" w:rsidP="00E25241">
      <w:pPr>
        <w:pStyle w:val="Titre1"/>
        <w:rPr>
          <w:rFonts w:eastAsia="Arial Narrow"/>
          <w:color w:val="000000"/>
          <w:sz w:val="28"/>
          <w:lang w:val="fr-FR"/>
        </w:rPr>
      </w:pPr>
      <w:r w:rsidRPr="008E7B62">
        <w:rPr>
          <w:rFonts w:eastAsia="Arial Narrow"/>
          <w:color w:val="000000"/>
          <w:sz w:val="28"/>
          <w:lang w:val="fr-FR"/>
        </w:rPr>
        <w:t>4 - Conditions relatives au contrat</w:t>
      </w:r>
      <w:bookmarkEnd w:id="14"/>
    </w:p>
    <w:p w:rsidR="00E25241" w:rsidRPr="008E7B62" w:rsidRDefault="00E25241" w:rsidP="00E25241">
      <w:pPr>
        <w:pStyle w:val="Titre2"/>
        <w:ind w:left="300" w:right="20"/>
        <w:jc w:val="both"/>
        <w:rPr>
          <w:rFonts w:eastAsia="Arial Narrow"/>
          <w:i w:val="0"/>
          <w:color w:val="000000"/>
          <w:sz w:val="24"/>
          <w:lang w:val="fr-FR"/>
        </w:rPr>
      </w:pPr>
      <w:bookmarkStart w:id="15" w:name="_Toc256000015"/>
      <w:r w:rsidRPr="008E7B62">
        <w:rPr>
          <w:rFonts w:eastAsia="Arial Narrow"/>
          <w:i w:val="0"/>
          <w:color w:val="000000"/>
          <w:sz w:val="24"/>
          <w:lang w:val="fr-FR"/>
        </w:rPr>
        <w:t>4.1 - Durée du contrat ou délai d'exécution</w:t>
      </w:r>
      <w:bookmarkEnd w:id="15"/>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durée du contrat est fixée au CCAP.</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lastRenderedPageBreak/>
        <w:t>Le calendrier prévisionnel d'exécution visé au CCAP est fourni en annexe de ce document.</w:t>
      </w:r>
    </w:p>
    <w:p w:rsidR="00E25241" w:rsidRPr="008E7B62" w:rsidRDefault="00E25241" w:rsidP="00E25241">
      <w:pPr>
        <w:pStyle w:val="Titre2"/>
        <w:ind w:left="300" w:right="20"/>
        <w:jc w:val="both"/>
        <w:rPr>
          <w:rFonts w:eastAsia="Arial Narrow"/>
          <w:i w:val="0"/>
          <w:color w:val="000000"/>
          <w:sz w:val="24"/>
          <w:lang w:val="fr-FR"/>
        </w:rPr>
      </w:pPr>
      <w:bookmarkStart w:id="16" w:name="_Toc256000016"/>
      <w:r w:rsidRPr="008E7B62">
        <w:rPr>
          <w:rFonts w:eastAsia="Arial Narrow"/>
          <w:i w:val="0"/>
          <w:color w:val="000000"/>
          <w:sz w:val="24"/>
          <w:lang w:val="fr-FR"/>
        </w:rPr>
        <w:t>4.2 - Modalités essentielles de financement et de paiement</w:t>
      </w:r>
      <w:bookmarkEnd w:id="16"/>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rsidR="00E25241" w:rsidRPr="008E7B62" w:rsidRDefault="00E25241" w:rsidP="00E25241">
      <w:pPr>
        <w:pStyle w:val="Titre1"/>
        <w:rPr>
          <w:rFonts w:eastAsia="Arial Narrow"/>
          <w:color w:val="000000"/>
          <w:sz w:val="28"/>
          <w:lang w:val="fr-FR"/>
        </w:rPr>
      </w:pPr>
      <w:bookmarkStart w:id="17" w:name="_Toc256000017"/>
      <w:r w:rsidRPr="008E7B62">
        <w:rPr>
          <w:rFonts w:eastAsia="Arial Narrow"/>
          <w:color w:val="000000"/>
          <w:sz w:val="28"/>
          <w:lang w:val="fr-FR"/>
        </w:rPr>
        <w:t>5 - Contenu du dossier de consultation</w:t>
      </w:r>
      <w:bookmarkEnd w:id="17"/>
    </w:p>
    <w:p w:rsidR="00E25241" w:rsidRPr="008E7B62" w:rsidRDefault="00E25241" w:rsidP="00E25241">
      <w:pPr>
        <w:pStyle w:val="ParagrapheIndent1"/>
        <w:spacing w:line="275" w:lineRule="exact"/>
        <w:ind w:left="20" w:right="20"/>
        <w:jc w:val="both"/>
        <w:rPr>
          <w:rFonts w:ascii="Arial" w:hAnsi="Arial" w:cs="Arial"/>
          <w:color w:val="000000"/>
          <w:lang w:val="fr-FR"/>
        </w:rPr>
      </w:pPr>
      <w:r w:rsidRPr="008E7B62">
        <w:rPr>
          <w:rFonts w:ascii="Arial" w:hAnsi="Arial" w:cs="Arial"/>
          <w:color w:val="000000"/>
          <w:lang w:val="fr-FR"/>
        </w:rPr>
        <w:t>Le dossier de consultation des entreprises (DCE) contient les pièces suivantes :</w:t>
      </w:r>
    </w:p>
    <w:p w:rsidR="00E25241" w:rsidRPr="008E7B62" w:rsidRDefault="00E25241" w:rsidP="00E25241">
      <w:pPr>
        <w:pStyle w:val="ParagrapheIndent1"/>
        <w:spacing w:line="275" w:lineRule="exact"/>
        <w:ind w:left="20" w:right="20"/>
        <w:jc w:val="both"/>
        <w:rPr>
          <w:rFonts w:ascii="Arial" w:hAnsi="Arial" w:cs="Arial"/>
          <w:color w:val="000000"/>
          <w:lang w:val="fr-FR"/>
        </w:rPr>
      </w:pP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Le règlement de la consultation (RC)</w:t>
      </w: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Le cahier des clauses administratives particulières (CCAP)</w:t>
      </w:r>
    </w:p>
    <w:p w:rsidR="00E25241"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Le cahier des clauses techniques particulières (CCTP)</w:t>
      </w:r>
    </w:p>
    <w:p w:rsidR="00224F72" w:rsidRPr="008E7B62" w:rsidRDefault="00224F72" w:rsidP="00E25241">
      <w:pPr>
        <w:ind w:left="420" w:right="12"/>
        <w:jc w:val="both"/>
        <w:rPr>
          <w:rFonts w:ascii="Arial" w:eastAsia="Arial Narrow" w:hAnsi="Arial" w:cs="Arial"/>
          <w:color w:val="000000"/>
          <w:lang w:val="fr-FR"/>
        </w:rPr>
      </w:pPr>
      <w:r>
        <w:rPr>
          <w:rFonts w:ascii="Arial" w:eastAsia="Arial Narrow" w:hAnsi="Arial" w:cs="Arial"/>
          <w:color w:val="000000"/>
          <w:lang w:val="fr-FR"/>
        </w:rPr>
        <w:t xml:space="preserve">- Le calendrier d’exécution </w:t>
      </w:r>
      <w:r w:rsidR="00F77E4F">
        <w:rPr>
          <w:rFonts w:ascii="Arial" w:eastAsia="Arial Narrow" w:hAnsi="Arial" w:cs="Arial"/>
          <w:color w:val="000000"/>
          <w:lang w:val="fr-FR"/>
        </w:rPr>
        <w:t>prévisionnelle</w:t>
      </w: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La décomposition du prix global forfaitaire (DPGF)</w:t>
      </w: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Le cadre du mémoire justificatif des dispositions que l'entreprise se propose d'adopter pour l'exécution du contrat</w:t>
      </w: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 Le dossier de plans</w:t>
      </w:r>
    </w:p>
    <w:p w:rsidR="00E25241" w:rsidRPr="008E7B62" w:rsidRDefault="00E25241" w:rsidP="00E25241">
      <w:pPr>
        <w:ind w:left="420" w:right="12"/>
        <w:jc w:val="both"/>
        <w:rPr>
          <w:rFonts w:ascii="Arial" w:eastAsia="Arial Narrow" w:hAnsi="Arial" w:cs="Arial"/>
          <w:color w:val="000000"/>
          <w:lang w:val="fr-FR"/>
        </w:rPr>
      </w:pPr>
      <w:r w:rsidRPr="008E7B62">
        <w:rPr>
          <w:rFonts w:ascii="Arial" w:eastAsia="Arial Narrow" w:hAnsi="Arial" w:cs="Arial"/>
          <w:color w:val="000000"/>
          <w:lang w:val="fr-FR"/>
        </w:rPr>
        <w:t>-</w:t>
      </w:r>
      <w:r w:rsidR="00224F72">
        <w:rPr>
          <w:rFonts w:ascii="Arial" w:eastAsia="Arial Narrow" w:hAnsi="Arial" w:cs="Arial"/>
          <w:color w:val="000000"/>
          <w:lang w:val="fr-FR"/>
        </w:rPr>
        <w:t xml:space="preserve"> </w:t>
      </w:r>
      <w:proofErr w:type="gramStart"/>
      <w:r w:rsidRPr="008E7B62">
        <w:rPr>
          <w:rFonts w:ascii="Arial" w:eastAsia="Arial Narrow" w:hAnsi="Arial" w:cs="Arial"/>
          <w:color w:val="000000"/>
          <w:lang w:val="fr-FR"/>
        </w:rPr>
        <w:t>L’ attestation</w:t>
      </w:r>
      <w:proofErr w:type="gramEnd"/>
      <w:r w:rsidRPr="008E7B62">
        <w:rPr>
          <w:rFonts w:ascii="Arial" w:eastAsia="Arial Narrow" w:hAnsi="Arial" w:cs="Arial"/>
          <w:color w:val="000000"/>
          <w:lang w:val="fr-FR"/>
        </w:rPr>
        <w:t xml:space="preserve"> de visite</w:t>
      </w:r>
    </w:p>
    <w:p w:rsidR="00E25241" w:rsidRPr="008E7B62" w:rsidRDefault="00E25241" w:rsidP="00E25241">
      <w:pPr>
        <w:ind w:left="420" w:right="12"/>
        <w:jc w:val="both"/>
        <w:rPr>
          <w:rFonts w:ascii="Arial" w:eastAsia="Arial Narrow" w:hAnsi="Arial" w:cs="Arial"/>
          <w:color w:val="000000"/>
          <w:lang w:val="fr-FR"/>
        </w:rPr>
      </w:pPr>
    </w:p>
    <w:p w:rsidR="00E25241" w:rsidRPr="008E7B62" w:rsidRDefault="00E25241" w:rsidP="00E25241">
      <w:pPr>
        <w:spacing w:after="120" w:line="240" w:lineRule="exact"/>
        <w:rPr>
          <w:rFonts w:ascii="Arial" w:hAnsi="Arial" w:cs="Arial"/>
          <w:lang w:val="fr-FR"/>
        </w:rPr>
      </w:pPr>
    </w:p>
    <w:p w:rsidR="00E25241" w:rsidRPr="008E7B62" w:rsidRDefault="00E25241" w:rsidP="00E25241">
      <w:pPr>
        <w:pStyle w:val="ParagrapheIndent1"/>
        <w:spacing w:line="275" w:lineRule="exact"/>
        <w:ind w:left="20" w:right="20"/>
        <w:jc w:val="both"/>
        <w:rPr>
          <w:rFonts w:ascii="Arial" w:hAnsi="Arial" w:cs="Arial"/>
          <w:color w:val="000000"/>
          <w:lang w:val="fr-FR"/>
        </w:rPr>
      </w:pPr>
      <w:r w:rsidRPr="008E7B62">
        <w:rPr>
          <w:rFonts w:ascii="Arial" w:hAnsi="Arial" w:cs="Arial"/>
          <w:color w:val="000000"/>
          <w:lang w:val="fr-FR"/>
        </w:rPr>
        <w:t>Le pouvoir adjudicateur se réserve le droit d'apporter des modifications de détail au dossier de consultation au plus tard 5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rsidR="00E25241" w:rsidRPr="008E7B62" w:rsidRDefault="00E25241" w:rsidP="00E25241">
      <w:pPr>
        <w:pStyle w:val="ParagrapheIndent1"/>
        <w:spacing w:line="275" w:lineRule="exact"/>
        <w:ind w:left="20" w:right="20"/>
        <w:jc w:val="both"/>
        <w:rPr>
          <w:rFonts w:ascii="Arial" w:hAnsi="Arial" w:cs="Arial"/>
          <w:color w:val="000000"/>
          <w:lang w:val="fr-FR"/>
        </w:rPr>
      </w:pPr>
    </w:p>
    <w:p w:rsidR="00E25241" w:rsidRPr="008E7B62" w:rsidRDefault="00E25241" w:rsidP="00E25241">
      <w:pPr>
        <w:pStyle w:val="ParagrapheIndent1"/>
        <w:spacing w:after="140" w:line="275" w:lineRule="exact"/>
        <w:ind w:left="20" w:right="20"/>
        <w:jc w:val="both"/>
        <w:rPr>
          <w:rFonts w:ascii="Arial" w:hAnsi="Arial" w:cs="Arial"/>
          <w:color w:val="000000"/>
          <w:lang w:val="fr-FR"/>
        </w:rPr>
      </w:pPr>
      <w:r w:rsidRPr="008E7B62">
        <w:rPr>
          <w:rFonts w:ascii="Arial" w:hAnsi="Arial" w:cs="Arial"/>
          <w:color w:val="000000"/>
          <w:lang w:val="fr-FR"/>
        </w:rPr>
        <w:t>Si, pendant l'étude du dossier par les candidats, la date limite de réception des offres est reportée, la disposition précédente est applicable en fonction de cette nouvelle date.</w:t>
      </w:r>
    </w:p>
    <w:p w:rsidR="00E25241" w:rsidRPr="008E7B62" w:rsidRDefault="00E25241" w:rsidP="00E25241">
      <w:pPr>
        <w:pStyle w:val="Titre1"/>
        <w:rPr>
          <w:rFonts w:eastAsia="Arial Narrow"/>
          <w:color w:val="000000"/>
          <w:sz w:val="28"/>
          <w:lang w:val="fr-FR"/>
        </w:rPr>
      </w:pPr>
      <w:bookmarkStart w:id="18" w:name="_Toc256000018"/>
      <w:r w:rsidRPr="008E7B62">
        <w:rPr>
          <w:rFonts w:eastAsia="Arial Narrow"/>
          <w:color w:val="000000"/>
          <w:sz w:val="28"/>
          <w:lang w:val="fr-FR"/>
        </w:rPr>
        <w:t>6 - Présentation des candidatures et des offres</w:t>
      </w:r>
      <w:bookmarkEnd w:id="18"/>
    </w:p>
    <w:p w:rsidR="00E25241" w:rsidRPr="008E7B62" w:rsidRDefault="00E25241" w:rsidP="00E25241">
      <w:pPr>
        <w:pStyle w:val="ParagrapheIndent1"/>
        <w:spacing w:line="275" w:lineRule="exact"/>
        <w:ind w:left="20" w:right="20"/>
        <w:jc w:val="both"/>
        <w:rPr>
          <w:rFonts w:ascii="Arial" w:hAnsi="Arial" w:cs="Arial"/>
          <w:color w:val="000000"/>
          <w:lang w:val="fr-FR"/>
        </w:rPr>
      </w:pPr>
      <w:r w:rsidRPr="008E7B62">
        <w:rPr>
          <w:rFonts w:ascii="Arial" w:hAnsi="Arial" w:cs="Arial"/>
          <w:color w:val="000000"/>
          <w:lang w:val="fr-FR"/>
        </w:rPr>
        <w:t>Les offres des candidats seront entièrement rédigées en langue française et exprimées en EURO.</w:t>
      </w:r>
    </w:p>
    <w:p w:rsidR="00E25241" w:rsidRPr="008E7B62" w:rsidRDefault="00E25241" w:rsidP="00E25241">
      <w:pPr>
        <w:pStyle w:val="ParagrapheIndent1"/>
        <w:spacing w:after="240" w:line="275" w:lineRule="exact"/>
        <w:ind w:left="20" w:right="20"/>
        <w:jc w:val="both"/>
        <w:rPr>
          <w:rFonts w:ascii="Arial" w:hAnsi="Arial" w:cs="Arial"/>
          <w:color w:val="000000"/>
          <w:lang w:val="fr-FR"/>
        </w:rPr>
      </w:pPr>
      <w:r w:rsidRPr="008E7B62">
        <w:rPr>
          <w:rFonts w:ascii="Arial" w:hAnsi="Arial" w:cs="Arial"/>
          <w:color w:val="000000"/>
          <w:lang w:val="fr-FR"/>
        </w:rPr>
        <w:t>Si les offres des candidats sont rédigées dans une autre langue, elles doivent être accompagnées d'une traduction en français, cette traduction doit concerner l'ensemble des documents remis dans l'offre.</w:t>
      </w:r>
    </w:p>
    <w:p w:rsidR="00E25241" w:rsidRPr="008E7B62" w:rsidRDefault="00E25241" w:rsidP="00E25241">
      <w:pPr>
        <w:pStyle w:val="Titre2"/>
        <w:ind w:left="300" w:right="20"/>
        <w:jc w:val="both"/>
        <w:rPr>
          <w:rFonts w:eastAsia="Arial Narrow"/>
          <w:i w:val="0"/>
          <w:color w:val="000000"/>
          <w:sz w:val="24"/>
          <w:lang w:val="fr-FR"/>
        </w:rPr>
      </w:pPr>
      <w:bookmarkStart w:id="19" w:name="_Toc256000019"/>
      <w:r w:rsidRPr="008E7B62">
        <w:rPr>
          <w:rFonts w:eastAsia="Arial Narrow"/>
          <w:i w:val="0"/>
          <w:color w:val="000000"/>
          <w:sz w:val="24"/>
          <w:lang w:val="fr-FR"/>
        </w:rPr>
        <w:t>6.1 - Documents à produire</w:t>
      </w:r>
      <w:bookmarkEnd w:id="19"/>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Chaque candidat aura à produire un dossier complet comprenant les pièces suivantes :</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Pièces de la candidature telles que prévues aux articles L. 2142-1, R. 2142-3, R. 2142-4, R. 2143-3 et R. 2143-4 du Code de la commande publique :</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Renseignements concernant la situation juridique de l'entreprise :</w:t>
      </w:r>
    </w:p>
    <w:p w:rsidR="00E25241" w:rsidRPr="008E7B62" w:rsidRDefault="00E25241" w:rsidP="00E25241">
      <w:pPr>
        <w:pStyle w:val="ParagrapheIndent2"/>
        <w:spacing w:line="275" w:lineRule="exact"/>
        <w:ind w:left="20" w:right="20"/>
        <w:jc w:val="both"/>
        <w:rPr>
          <w:rFonts w:ascii="Arial" w:hAnsi="Arial" w:cs="Arial"/>
          <w:color w:val="000000"/>
          <w:lang w:val="fr-FR"/>
        </w:rPr>
      </w:pPr>
    </w:p>
    <w:tbl>
      <w:tblPr>
        <w:tblW w:w="0" w:type="auto"/>
        <w:tblInd w:w="20" w:type="dxa"/>
        <w:tblLayout w:type="fixed"/>
        <w:tblLook w:val="04A0"/>
      </w:tblPr>
      <w:tblGrid>
        <w:gridCol w:w="9600"/>
      </w:tblGrid>
      <w:tr w:rsidR="00E25241" w:rsidRPr="008E7B62" w:rsidTr="003F4014">
        <w:trPr>
          <w:trHeight w:val="306"/>
        </w:trPr>
        <w:tc>
          <w:tcPr>
            <w:tcW w:w="9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Libellés</w:t>
            </w:r>
          </w:p>
        </w:tc>
      </w:tr>
      <w:tr w:rsidR="00E25241" w:rsidRPr="000D388A" w:rsidTr="003F4014">
        <w:trPr>
          <w:trHeight w:val="486"/>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Déclaration sur l'honneur pour justifier que le candidat n'entre dans aucun des cas d'interdiction de soumissionner</w:t>
            </w:r>
          </w:p>
        </w:tc>
      </w:tr>
    </w:tbl>
    <w:p w:rsidR="00E25241" w:rsidRPr="008E7B62" w:rsidRDefault="00E25241" w:rsidP="00E25241">
      <w:pPr>
        <w:spacing w:line="240" w:lineRule="exact"/>
        <w:rPr>
          <w:rFonts w:ascii="Arial" w:hAnsi="Arial" w:cs="Arial"/>
          <w:lang w:val="fr-FR"/>
        </w:rPr>
      </w:pPr>
      <w:r w:rsidRPr="008E7B62">
        <w:rPr>
          <w:rFonts w:ascii="Arial" w:hAnsi="Arial" w:cs="Arial"/>
          <w:lang w:val="fr-FR"/>
        </w:rPr>
        <w:lastRenderedPageBreak/>
        <w:t xml:space="preserve"> </w:t>
      </w:r>
    </w:p>
    <w:p w:rsidR="00E25241" w:rsidRPr="008E7B62" w:rsidRDefault="00E25241" w:rsidP="00E25241">
      <w:pPr>
        <w:spacing w:after="80" w:line="240" w:lineRule="exact"/>
        <w:rPr>
          <w:rFonts w:ascii="Arial" w:hAnsi="Arial" w:cs="Arial"/>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Renseignements concernant la capacité économique et financière de l'entreprise :</w:t>
      </w:r>
    </w:p>
    <w:p w:rsidR="00E25241" w:rsidRPr="008E7B62" w:rsidRDefault="00E25241" w:rsidP="00E25241">
      <w:pPr>
        <w:pStyle w:val="ParagrapheIndent2"/>
        <w:spacing w:line="275" w:lineRule="exact"/>
        <w:ind w:left="20" w:right="20"/>
        <w:jc w:val="both"/>
        <w:rPr>
          <w:rFonts w:ascii="Arial" w:hAnsi="Arial" w:cs="Arial"/>
          <w:color w:val="000000"/>
          <w:lang w:val="fr-FR"/>
        </w:rPr>
      </w:pPr>
    </w:p>
    <w:tbl>
      <w:tblPr>
        <w:tblW w:w="0" w:type="auto"/>
        <w:tblInd w:w="20" w:type="dxa"/>
        <w:tblLayout w:type="fixed"/>
        <w:tblLook w:val="04A0"/>
      </w:tblPr>
      <w:tblGrid>
        <w:gridCol w:w="9600"/>
      </w:tblGrid>
      <w:tr w:rsidR="00E25241" w:rsidRPr="008E7B62" w:rsidTr="003F4014">
        <w:trPr>
          <w:trHeight w:val="306"/>
        </w:trPr>
        <w:tc>
          <w:tcPr>
            <w:tcW w:w="9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Libellés</w:t>
            </w:r>
          </w:p>
        </w:tc>
      </w:tr>
      <w:tr w:rsidR="00E25241" w:rsidRPr="000D388A" w:rsidTr="003F4014">
        <w:trPr>
          <w:trHeight w:val="738"/>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Déclaration concernant le chiffre d'affaires global et le chiffre d'affaires concernant les prestations objet du contrat, réalisées au cours des trois derniers exercices disponibles</w:t>
            </w:r>
          </w:p>
        </w:tc>
      </w:tr>
      <w:tr w:rsidR="00E25241" w:rsidRPr="000D388A" w:rsidTr="003F4014">
        <w:trPr>
          <w:trHeight w:val="738"/>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Pour les entreprises de création récente : déclaration appropriée de banques (garanties bancaires) ou preuve d'une assurance pour les risques professionnels</w:t>
            </w:r>
          </w:p>
        </w:tc>
      </w:tr>
    </w:tbl>
    <w:p w:rsidR="00E25241" w:rsidRPr="008E7B62" w:rsidRDefault="00E25241" w:rsidP="00E25241">
      <w:pPr>
        <w:spacing w:line="240" w:lineRule="exact"/>
        <w:rPr>
          <w:rFonts w:ascii="Arial" w:hAnsi="Arial" w:cs="Arial"/>
          <w:lang w:val="fr-FR"/>
        </w:rPr>
      </w:pPr>
      <w:r w:rsidRPr="008E7B62">
        <w:rPr>
          <w:rFonts w:ascii="Arial" w:hAnsi="Arial" w:cs="Arial"/>
          <w:lang w:val="fr-FR"/>
        </w:rPr>
        <w:t xml:space="preserve"> </w:t>
      </w:r>
    </w:p>
    <w:p w:rsidR="00E25241" w:rsidRPr="008E7B62" w:rsidRDefault="00E25241" w:rsidP="00E25241">
      <w:pPr>
        <w:spacing w:after="80" w:line="240" w:lineRule="exact"/>
        <w:rPr>
          <w:rFonts w:ascii="Arial" w:hAnsi="Arial" w:cs="Arial"/>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Renseignements concernant les références professionnelles et la capacité technique de l'entreprise :</w:t>
      </w:r>
    </w:p>
    <w:p w:rsidR="00E25241" w:rsidRPr="008E7B62" w:rsidRDefault="00E25241" w:rsidP="00E25241">
      <w:pPr>
        <w:pStyle w:val="ParagrapheIndent2"/>
        <w:spacing w:line="275" w:lineRule="exact"/>
        <w:ind w:left="20" w:right="20"/>
        <w:jc w:val="both"/>
        <w:rPr>
          <w:rFonts w:ascii="Arial" w:hAnsi="Arial" w:cs="Arial"/>
          <w:color w:val="000000"/>
          <w:lang w:val="fr-FR"/>
        </w:rPr>
      </w:pPr>
    </w:p>
    <w:tbl>
      <w:tblPr>
        <w:tblW w:w="0" w:type="auto"/>
        <w:tblInd w:w="20" w:type="dxa"/>
        <w:tblLayout w:type="fixed"/>
        <w:tblLook w:val="04A0"/>
      </w:tblPr>
      <w:tblGrid>
        <w:gridCol w:w="9600"/>
      </w:tblGrid>
      <w:tr w:rsidR="00E25241" w:rsidRPr="008E7B62" w:rsidTr="003F4014">
        <w:trPr>
          <w:trHeight w:val="306"/>
        </w:trPr>
        <w:tc>
          <w:tcPr>
            <w:tcW w:w="9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Libellés</w:t>
            </w:r>
          </w:p>
        </w:tc>
      </w:tr>
      <w:tr w:rsidR="00E25241" w:rsidRPr="000D388A" w:rsidTr="003F4014">
        <w:trPr>
          <w:trHeight w:val="990"/>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Liste des travaux exécutés au cours des cinq dernières années, appuyée d'attestations de bonne exécution pour les plus importants (montant, époque, lieu d'exécution, s'ils ont été effectués selon les règles de l'art et menés à bonne fin)</w:t>
            </w:r>
          </w:p>
        </w:tc>
      </w:tr>
      <w:tr w:rsidR="00E25241" w:rsidRPr="000D388A" w:rsidTr="003F4014">
        <w:trPr>
          <w:trHeight w:val="738"/>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Déclaration indiquant les effectifs moyens annuels du candidat et l'importance du personnel d'encadrement pour chacune des trois dernières années</w:t>
            </w:r>
          </w:p>
        </w:tc>
      </w:tr>
      <w:tr w:rsidR="00E25241" w:rsidRPr="000D388A" w:rsidTr="003F4014">
        <w:trPr>
          <w:trHeight w:val="486"/>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jc w:val="center"/>
              <w:rPr>
                <w:rFonts w:ascii="Arial" w:eastAsia="Arial Narrow" w:hAnsi="Arial" w:cs="Arial"/>
                <w:color w:val="000000"/>
                <w:lang w:val="fr-FR"/>
              </w:rPr>
            </w:pPr>
            <w:r w:rsidRPr="008E7B62">
              <w:rPr>
                <w:rFonts w:ascii="Arial" w:eastAsia="Arial Narrow" w:hAnsi="Arial" w:cs="Arial"/>
                <w:color w:val="000000"/>
                <w:lang w:val="fr-FR"/>
              </w:rPr>
              <w:t>Déclaration indiquant l'outillage, le matériel et l'équipement technique dont le candidat dispose pour la réalisation du contrat</w:t>
            </w:r>
          </w:p>
        </w:tc>
      </w:tr>
    </w:tbl>
    <w:p w:rsidR="00E25241" w:rsidRPr="008E7B62" w:rsidRDefault="00E25241" w:rsidP="00E25241">
      <w:pPr>
        <w:pStyle w:val="ParagrapheIndent2"/>
        <w:spacing w:after="240" w:line="275" w:lineRule="exact"/>
        <w:ind w:right="20"/>
        <w:jc w:val="both"/>
        <w:rPr>
          <w:rFonts w:ascii="Arial" w:hAnsi="Arial" w:cs="Arial"/>
          <w:color w:val="000000"/>
          <w:lang w:val="fr-FR"/>
        </w:rPr>
      </w:pPr>
    </w:p>
    <w:p w:rsidR="00E25241" w:rsidRPr="008E7B62" w:rsidRDefault="00E25241" w:rsidP="00E25241">
      <w:pPr>
        <w:pStyle w:val="ParagrapheIndent2"/>
        <w:spacing w:after="240" w:line="275" w:lineRule="exact"/>
        <w:ind w:right="20"/>
        <w:jc w:val="both"/>
        <w:rPr>
          <w:rFonts w:ascii="Arial" w:hAnsi="Arial" w:cs="Arial"/>
          <w:color w:val="000000"/>
          <w:lang w:val="fr-FR"/>
        </w:rPr>
      </w:pPr>
      <w:r w:rsidRPr="008E7B62">
        <w:rPr>
          <w:rFonts w:ascii="Arial" w:hAnsi="Arial" w:cs="Arial"/>
          <w:color w:val="000000"/>
          <w:lang w:val="fr-FR"/>
        </w:rPr>
        <w:t xml:space="preserve">Pour présenter leur candidature, </w:t>
      </w:r>
      <w:r w:rsidRPr="008E7B62">
        <w:rPr>
          <w:rFonts w:ascii="Arial" w:hAnsi="Arial" w:cs="Arial"/>
          <w:b/>
          <w:color w:val="000000"/>
          <w:lang w:val="fr-FR"/>
        </w:rPr>
        <w:t>les candidats utilisent soit les formulaires DC1 (lettre de candidature) et DC2 (déclaration du candidat).</w:t>
      </w:r>
      <w:r w:rsidRPr="008E7B62">
        <w:rPr>
          <w:rFonts w:ascii="Arial" w:hAnsi="Arial" w:cs="Arial"/>
          <w:color w:val="000000"/>
          <w:lang w:val="fr-FR"/>
        </w:rPr>
        <w:t xml:space="preserve"> </w:t>
      </w:r>
      <w:proofErr w:type="gramStart"/>
      <w:r w:rsidRPr="008E7B62">
        <w:rPr>
          <w:rFonts w:ascii="Arial" w:hAnsi="Arial" w:cs="Arial"/>
          <w:color w:val="000000"/>
          <w:lang w:val="fr-FR"/>
        </w:rPr>
        <w:t>disponible</w:t>
      </w:r>
      <w:proofErr w:type="gramEnd"/>
      <w:r w:rsidRPr="008E7B62">
        <w:rPr>
          <w:rFonts w:ascii="Arial" w:hAnsi="Arial" w:cs="Arial"/>
          <w:color w:val="000000"/>
          <w:lang w:val="fr-FR"/>
        </w:rPr>
        <w:t xml:space="preserve"> gratuitement sur le site www.economie.gouv.fr, soit le Document Unique de Marché Européen (DUME).</w:t>
      </w:r>
    </w:p>
    <w:p w:rsidR="00E25241" w:rsidRPr="008E7B62" w:rsidRDefault="00E25241" w:rsidP="00E25241">
      <w:pPr>
        <w:spacing w:before="100" w:beforeAutospacing="1" w:after="100" w:afterAutospacing="1"/>
        <w:jc w:val="both"/>
        <w:rPr>
          <w:rFonts w:ascii="Arial" w:hAnsi="Arial" w:cs="Arial"/>
          <w:lang w:val="fr-FR" w:eastAsia="fr-FR"/>
        </w:rPr>
      </w:pPr>
      <w:r w:rsidRPr="008E7B62">
        <w:rPr>
          <w:rFonts w:ascii="Arial" w:hAnsi="Arial" w:cs="Arial"/>
          <w:color w:val="000000"/>
          <w:lang w:val="fr-FR"/>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Pièces de l'offre :</w:t>
      </w:r>
    </w:p>
    <w:p w:rsidR="00E25241" w:rsidRPr="008E7B62" w:rsidRDefault="00E25241" w:rsidP="00E25241">
      <w:pPr>
        <w:pStyle w:val="ParagrapheIndent2"/>
        <w:spacing w:line="275" w:lineRule="exact"/>
        <w:ind w:left="20" w:right="20"/>
        <w:jc w:val="both"/>
        <w:rPr>
          <w:rFonts w:ascii="Arial" w:hAnsi="Arial" w:cs="Arial"/>
          <w:color w:val="000000"/>
          <w:lang w:val="fr-FR"/>
        </w:rPr>
      </w:pPr>
    </w:p>
    <w:tbl>
      <w:tblPr>
        <w:tblW w:w="0" w:type="auto"/>
        <w:tblInd w:w="20" w:type="dxa"/>
        <w:tblLayout w:type="fixed"/>
        <w:tblLook w:val="04A0"/>
      </w:tblPr>
      <w:tblGrid>
        <w:gridCol w:w="9600"/>
      </w:tblGrid>
      <w:tr w:rsidR="00E25241" w:rsidRPr="008E7B62" w:rsidTr="003F4014">
        <w:trPr>
          <w:trHeight w:val="306"/>
        </w:trPr>
        <w:tc>
          <w:tcPr>
            <w:tcW w:w="9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Libellés</w:t>
            </w:r>
          </w:p>
        </w:tc>
      </w:tr>
      <w:tr w:rsidR="00E25241" w:rsidRPr="000D388A" w:rsidTr="003F4014">
        <w:trPr>
          <w:trHeight w:val="342"/>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rPr>
                <w:rFonts w:ascii="Arial" w:eastAsia="Arial Narrow" w:hAnsi="Arial" w:cs="Arial"/>
                <w:color w:val="000000"/>
                <w:lang w:val="fr-FR"/>
              </w:rPr>
            </w:pPr>
            <w:r w:rsidRPr="008E7B62">
              <w:rPr>
                <w:rFonts w:ascii="Arial" w:eastAsia="Arial Narrow" w:hAnsi="Arial" w:cs="Arial"/>
                <w:color w:val="000000"/>
                <w:lang w:val="fr-FR"/>
              </w:rPr>
              <w:t>Le cahier des clauses administratives particulières (CCAP)</w:t>
            </w:r>
          </w:p>
        </w:tc>
      </w:tr>
      <w:tr w:rsidR="00E25241" w:rsidRPr="000D388A" w:rsidTr="003F4014">
        <w:trPr>
          <w:trHeight w:val="342"/>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rPr>
                <w:rFonts w:ascii="Arial" w:eastAsia="Arial Narrow" w:hAnsi="Arial" w:cs="Arial"/>
                <w:color w:val="000000"/>
                <w:lang w:val="fr-FR"/>
              </w:rPr>
            </w:pPr>
            <w:r w:rsidRPr="008E7B62">
              <w:rPr>
                <w:rFonts w:ascii="Arial" w:eastAsia="Arial Narrow" w:hAnsi="Arial" w:cs="Arial"/>
                <w:color w:val="000000"/>
                <w:lang w:val="fr-FR"/>
              </w:rPr>
              <w:t xml:space="preserve">Le cahier des clauses techniques particulières (CCTP) </w:t>
            </w:r>
          </w:p>
        </w:tc>
      </w:tr>
      <w:tr w:rsidR="00E25241" w:rsidRPr="000D388A" w:rsidTr="003F4014">
        <w:trPr>
          <w:trHeight w:val="342"/>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rPr>
                <w:rFonts w:ascii="Arial" w:eastAsia="Arial Narrow" w:hAnsi="Arial" w:cs="Arial"/>
                <w:color w:val="000000"/>
                <w:lang w:val="fr-FR"/>
              </w:rPr>
            </w:pPr>
            <w:r w:rsidRPr="008E7B62">
              <w:rPr>
                <w:rFonts w:ascii="Arial" w:eastAsia="Arial Narrow" w:hAnsi="Arial" w:cs="Arial"/>
                <w:color w:val="000000"/>
                <w:lang w:val="fr-FR"/>
              </w:rPr>
              <w:t>La décomposition du prix global forfaitaire (DPGF)</w:t>
            </w:r>
          </w:p>
        </w:tc>
      </w:tr>
      <w:tr w:rsidR="00E25241" w:rsidRPr="000D388A" w:rsidTr="003F4014">
        <w:trPr>
          <w:trHeight w:val="486"/>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rPr>
                <w:rFonts w:ascii="Arial" w:eastAsia="Arial Narrow" w:hAnsi="Arial" w:cs="Arial"/>
                <w:color w:val="000000"/>
                <w:lang w:val="fr-FR"/>
              </w:rPr>
            </w:pPr>
            <w:r w:rsidRPr="008E7B62">
              <w:rPr>
                <w:rFonts w:ascii="Arial" w:eastAsia="Arial Narrow" w:hAnsi="Arial" w:cs="Arial"/>
                <w:color w:val="000000"/>
                <w:lang w:val="fr-FR"/>
              </w:rPr>
              <w:t>Le mémoire justificatif des dispositions que l'entreprise se propose d'adopter pour l'exécution du contrat</w:t>
            </w:r>
          </w:p>
        </w:tc>
      </w:tr>
      <w:tr w:rsidR="00E25241" w:rsidRPr="000D388A" w:rsidTr="003F4014">
        <w:trPr>
          <w:trHeight w:val="342"/>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80" w:after="20"/>
              <w:ind w:left="80" w:right="80"/>
              <w:rPr>
                <w:rFonts w:ascii="Arial" w:eastAsia="Arial Narrow" w:hAnsi="Arial" w:cs="Arial"/>
                <w:color w:val="000000"/>
                <w:lang w:val="fr-FR"/>
              </w:rPr>
            </w:pPr>
            <w:r w:rsidRPr="008E7B62">
              <w:rPr>
                <w:rFonts w:ascii="Arial" w:eastAsia="Arial Narrow" w:hAnsi="Arial" w:cs="Arial"/>
                <w:color w:val="000000"/>
                <w:lang w:val="fr-FR"/>
              </w:rPr>
              <w:t xml:space="preserve">Un certificat de visite des locaux </w:t>
            </w:r>
          </w:p>
        </w:tc>
      </w:tr>
    </w:tbl>
    <w:p w:rsidR="00E25241" w:rsidRPr="008E7B62" w:rsidRDefault="00E25241" w:rsidP="00E25241">
      <w:pPr>
        <w:spacing w:line="240" w:lineRule="exact"/>
        <w:rPr>
          <w:rFonts w:ascii="Arial" w:hAnsi="Arial" w:cs="Arial"/>
          <w:lang w:val="fr-FR"/>
        </w:rPr>
      </w:pPr>
      <w:r w:rsidRPr="008E7B62">
        <w:rPr>
          <w:rFonts w:ascii="Arial" w:hAnsi="Arial" w:cs="Arial"/>
          <w:lang w:val="fr-FR"/>
        </w:rPr>
        <w:lastRenderedPageBreak/>
        <w:t xml:space="preserve"> </w:t>
      </w:r>
    </w:p>
    <w:p w:rsidR="00E25241" w:rsidRPr="008E7B62" w:rsidRDefault="00E25241" w:rsidP="00E25241">
      <w:pPr>
        <w:spacing w:before="100" w:beforeAutospacing="1" w:after="100" w:afterAutospacing="1"/>
        <w:jc w:val="both"/>
        <w:rPr>
          <w:rFonts w:ascii="Arial" w:hAnsi="Arial" w:cs="Arial"/>
          <w:lang w:val="fr-FR" w:eastAsia="fr-FR"/>
        </w:rPr>
      </w:pPr>
      <w:r w:rsidRPr="008E7B62">
        <w:rPr>
          <w:rFonts w:ascii="Arial" w:hAnsi="Arial" w:cs="Arial"/>
          <w:lang w:val="fr-FR" w:eastAsia="fr-FR"/>
        </w:rPr>
        <w:t>A ces documents pourra être joint tout autre document technique et/ou explicatif jugé utile par le candidat à la compréhension et à la présentation de son offre.</w:t>
      </w:r>
    </w:p>
    <w:p w:rsidR="00E25241" w:rsidRPr="008E7B62" w:rsidRDefault="00E25241" w:rsidP="00E25241">
      <w:pPr>
        <w:spacing w:before="100" w:beforeAutospacing="1" w:after="100" w:afterAutospacing="1"/>
        <w:jc w:val="both"/>
        <w:rPr>
          <w:rFonts w:ascii="Arial" w:hAnsi="Arial" w:cs="Arial"/>
          <w:lang w:val="fr-FR" w:eastAsia="fr-FR"/>
        </w:rPr>
      </w:pPr>
      <w:r w:rsidRPr="008E7B62">
        <w:rPr>
          <w:rFonts w:ascii="Arial" w:hAnsi="Arial" w:cs="Arial"/>
          <w:color w:val="000000"/>
          <w:lang w:val="fr-FR"/>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p>
    <w:p w:rsidR="00E25241" w:rsidRPr="008E7B62" w:rsidRDefault="00E25241" w:rsidP="00E25241">
      <w:pPr>
        <w:pStyle w:val="Titre2"/>
        <w:ind w:left="300" w:right="20"/>
        <w:jc w:val="both"/>
        <w:rPr>
          <w:rFonts w:eastAsia="Arial Narrow"/>
          <w:i w:val="0"/>
          <w:color w:val="000000"/>
          <w:sz w:val="24"/>
          <w:lang w:val="fr-FR"/>
        </w:rPr>
      </w:pPr>
      <w:bookmarkStart w:id="20" w:name="_Toc256000020"/>
      <w:r w:rsidRPr="008E7B62">
        <w:rPr>
          <w:rFonts w:eastAsia="Arial Narrow"/>
          <w:i w:val="0"/>
          <w:color w:val="000000"/>
          <w:sz w:val="24"/>
          <w:lang w:val="fr-FR"/>
        </w:rPr>
        <w:t>6.2 - Visites sur site</w:t>
      </w:r>
      <w:bookmarkEnd w:id="20"/>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Une visite sur site est obligatoire. L'offre d'un candidat qui n'a pas effectué cette visite sera déclarée irrégulière.</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Les conditions de visites sont les suivantes :</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Prendre rendez-vous auprès de M.CLAIR Alexandre, Intendant de l’établissement au 06 68 90 09 74 ou M. RAUX au 06 83 99 75 74.</w:t>
      </w:r>
    </w:p>
    <w:p w:rsidR="00E25241" w:rsidRPr="008E7B62" w:rsidRDefault="00E25241" w:rsidP="00E25241">
      <w:pPr>
        <w:pStyle w:val="Titre1"/>
        <w:rPr>
          <w:rFonts w:eastAsia="Arial Narrow"/>
          <w:color w:val="000000"/>
          <w:sz w:val="28"/>
          <w:lang w:val="fr-FR"/>
        </w:rPr>
      </w:pPr>
      <w:bookmarkStart w:id="21" w:name="_Toc256000021"/>
      <w:r w:rsidRPr="008E7B62">
        <w:rPr>
          <w:rFonts w:eastAsia="Arial Narrow"/>
          <w:color w:val="000000"/>
          <w:sz w:val="28"/>
          <w:lang w:val="fr-FR"/>
        </w:rPr>
        <w:t>7 - Conditions d'envoi ou de remise des plis</w:t>
      </w:r>
      <w:bookmarkEnd w:id="21"/>
    </w:p>
    <w:p w:rsidR="00E25241" w:rsidRPr="008E7B62" w:rsidRDefault="00E25241" w:rsidP="00E25241">
      <w:pPr>
        <w:pStyle w:val="ParagrapheIndent1"/>
        <w:spacing w:after="240" w:line="275" w:lineRule="exact"/>
        <w:ind w:left="20" w:right="20"/>
        <w:jc w:val="both"/>
        <w:rPr>
          <w:rFonts w:ascii="Arial" w:hAnsi="Arial" w:cs="Arial"/>
          <w:color w:val="000000"/>
          <w:lang w:val="fr-FR"/>
        </w:rPr>
      </w:pPr>
      <w:r w:rsidRPr="008E7B62">
        <w:rPr>
          <w:rFonts w:ascii="Arial" w:hAnsi="Arial" w:cs="Arial"/>
          <w:color w:val="000000"/>
          <w:lang w:val="fr-FR"/>
        </w:rPr>
        <w:t>Les plis devront parvenir à destination avant la date et l'heure limites de réception des offres indiquées sur la page de garde du présent document.</w:t>
      </w:r>
    </w:p>
    <w:p w:rsidR="00E25241" w:rsidRPr="008E7B62" w:rsidRDefault="00E25241" w:rsidP="00E25241">
      <w:pPr>
        <w:pStyle w:val="ParagrapheIndent1"/>
        <w:spacing w:after="240" w:line="275" w:lineRule="exact"/>
        <w:ind w:left="20" w:right="20"/>
        <w:jc w:val="both"/>
        <w:rPr>
          <w:rFonts w:ascii="Arial" w:hAnsi="Arial" w:cs="Arial"/>
          <w:color w:val="000000"/>
          <w:lang w:val="fr-FR"/>
        </w:rPr>
      </w:pPr>
      <w:r w:rsidRPr="008E7B62">
        <w:rPr>
          <w:rFonts w:ascii="Arial" w:hAnsi="Arial" w:cs="Arial"/>
          <w:lang w:val="fr-FR" w:eastAsia="fr-FR"/>
        </w:rPr>
        <w:t>La transmission des offres doit être effectuée de façon dématérialisée via la plateforme :</w:t>
      </w:r>
    </w:p>
    <w:p w:rsidR="00E25241" w:rsidRPr="008E7B62" w:rsidRDefault="00E25241" w:rsidP="00E25241">
      <w:pPr>
        <w:tabs>
          <w:tab w:val="left" w:pos="284"/>
        </w:tabs>
        <w:spacing w:before="100" w:beforeAutospacing="1" w:after="100" w:afterAutospacing="1"/>
        <w:jc w:val="both"/>
        <w:rPr>
          <w:rFonts w:ascii="Arial" w:hAnsi="Arial" w:cs="Arial"/>
          <w:lang w:val="fr-FR" w:eastAsia="fr-FR"/>
        </w:rPr>
      </w:pPr>
      <w:r w:rsidRPr="008E7B62">
        <w:rPr>
          <w:rFonts w:ascii="Arial" w:hAnsi="Arial" w:cs="Arial"/>
          <w:lang w:val="fr-FR" w:eastAsia="fr-FR"/>
        </w:rPr>
        <w:t> </w:t>
      </w:r>
      <w:hyperlink r:id="rId9" w:history="1">
        <w:r w:rsidRPr="008E7B62">
          <w:rPr>
            <w:rFonts w:ascii="Arial" w:hAnsi="Arial" w:cs="Arial"/>
            <w:b/>
            <w:u w:val="single"/>
            <w:lang w:val="fr-FR" w:eastAsia="fr-FR"/>
          </w:rPr>
          <w:t>https://mapa.aji-france.com/mapa/marche/</w:t>
        </w:r>
      </w:hyperlink>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right="20"/>
        <w:jc w:val="both"/>
        <w:rPr>
          <w:rFonts w:ascii="Arial" w:hAnsi="Arial" w:cs="Arial"/>
          <w:color w:val="000000"/>
          <w:lang w:val="fr-FR"/>
        </w:rPr>
      </w:pPr>
      <w:r w:rsidRPr="008E7B62">
        <w:rPr>
          <w:rFonts w:ascii="Arial" w:hAnsi="Arial" w:cs="Arial"/>
          <w:color w:val="000000"/>
          <w:lang w:val="fr-FR"/>
        </w:rPr>
        <w:t>Le pli doit contenir deux dossiers distincts comportant respectivement les pièces de la candidature et les pièces de l'offre définies au présent règlement de la consultation.</w:t>
      </w:r>
    </w:p>
    <w:p w:rsidR="00E25241" w:rsidRPr="008E7B62" w:rsidRDefault="00E25241" w:rsidP="00E25241">
      <w:pPr>
        <w:pStyle w:val="ParagrapheIndent2"/>
        <w:spacing w:line="275" w:lineRule="exact"/>
        <w:ind w:right="20"/>
        <w:jc w:val="both"/>
        <w:rPr>
          <w:rFonts w:ascii="Arial" w:hAnsi="Arial" w:cs="Arial"/>
          <w:color w:val="000000"/>
          <w:lang w:val="fr-FR"/>
        </w:rPr>
      </w:pPr>
      <w:r w:rsidRPr="008E7B62">
        <w:rPr>
          <w:rFonts w:ascii="Arial" w:hAnsi="Arial" w:cs="Arial"/>
          <w:color w:val="000000"/>
          <w:lang w:val="fr-FR"/>
        </w:rPr>
        <w:t>Le pli sera considéré « hors délai » si le téléchargement se termine après la date et l'heure limites de réception des offres.</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Si une nouvelle offre est envoyée par voie électronique par le même candidat, celle-ci annule et remplace l'offre précédente.</w:t>
      </w:r>
    </w:p>
    <w:p w:rsidR="00E25241" w:rsidRPr="008E7B62" w:rsidRDefault="00E25241" w:rsidP="00E25241">
      <w:pPr>
        <w:pStyle w:val="ParagrapheIndent2"/>
        <w:spacing w:after="240" w:line="275" w:lineRule="exact"/>
        <w:ind w:right="20"/>
        <w:jc w:val="both"/>
        <w:rPr>
          <w:rFonts w:ascii="Arial" w:hAnsi="Arial" w:cs="Arial"/>
          <w:color w:val="000000"/>
          <w:lang w:val="fr-FR"/>
        </w:rPr>
      </w:pPr>
      <w:r w:rsidRPr="008E7B62">
        <w:rPr>
          <w:rFonts w:ascii="Arial" w:hAnsi="Arial" w:cs="Arial"/>
          <w:color w:val="000000"/>
          <w:lang w:val="fr-FR"/>
        </w:rPr>
        <w:t>Aucun format électronique n'est préconisé pour la transmission des documents. Cependant, les fichiers devront être transmis dans des formats largement disponibles.</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signature électronique des documents n'est pas exigée dans le cadre de cette consultation.</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signature électronique du contrat par l'attributaire n'est pas exigée dans le cadre de cette consultation.</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Après attribution, les candidats sont informés que l'offre électronique retenue sera transformée en offre papier, pour donner lieu à la signature manuscrite du marché par les parties.</w:t>
      </w:r>
    </w:p>
    <w:p w:rsidR="00E25241" w:rsidRPr="008E7B62" w:rsidRDefault="00E25241" w:rsidP="00E25241">
      <w:pPr>
        <w:pStyle w:val="Titre1"/>
        <w:rPr>
          <w:rFonts w:eastAsia="Arial Narrow"/>
          <w:color w:val="000000"/>
          <w:sz w:val="28"/>
          <w:lang w:val="fr-FR"/>
        </w:rPr>
      </w:pPr>
      <w:bookmarkStart w:id="22" w:name="_Toc256000024"/>
      <w:r w:rsidRPr="008E7B62">
        <w:rPr>
          <w:rFonts w:eastAsia="Arial Narrow"/>
          <w:color w:val="000000"/>
          <w:sz w:val="28"/>
          <w:lang w:val="fr-FR"/>
        </w:rPr>
        <w:lastRenderedPageBreak/>
        <w:t>8 - Examen des candidatures et des offres</w:t>
      </w:r>
      <w:bookmarkEnd w:id="22"/>
    </w:p>
    <w:p w:rsidR="00E25241" w:rsidRPr="008E7B62" w:rsidRDefault="00E25241" w:rsidP="00E25241">
      <w:pPr>
        <w:pStyle w:val="Titre2"/>
        <w:ind w:left="300" w:right="20"/>
        <w:jc w:val="both"/>
        <w:rPr>
          <w:rFonts w:eastAsia="Arial Narrow"/>
          <w:i w:val="0"/>
          <w:color w:val="000000"/>
          <w:sz w:val="24"/>
          <w:lang w:val="fr-FR"/>
        </w:rPr>
      </w:pPr>
      <w:bookmarkStart w:id="23" w:name="_Toc256000025"/>
      <w:r w:rsidRPr="008E7B62">
        <w:rPr>
          <w:rFonts w:eastAsia="Arial Narrow"/>
          <w:i w:val="0"/>
          <w:color w:val="000000"/>
          <w:sz w:val="24"/>
          <w:lang w:val="fr-FR"/>
        </w:rPr>
        <w:t>8.1 - Sélection des candidatures</w:t>
      </w:r>
      <w:bookmarkEnd w:id="23"/>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3 jours.</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rsidR="00E25241" w:rsidRPr="008E7B62" w:rsidRDefault="00E25241" w:rsidP="00E25241">
      <w:pPr>
        <w:pStyle w:val="Titre2"/>
        <w:ind w:left="300" w:right="20"/>
        <w:jc w:val="both"/>
        <w:rPr>
          <w:rFonts w:eastAsia="Arial Narrow"/>
          <w:i w:val="0"/>
          <w:color w:val="000000"/>
          <w:sz w:val="24"/>
          <w:lang w:val="fr-FR"/>
        </w:rPr>
      </w:pPr>
      <w:bookmarkStart w:id="24" w:name="_Toc256000026"/>
      <w:r w:rsidRPr="008E7B62">
        <w:rPr>
          <w:rFonts w:eastAsia="Arial Narrow"/>
          <w:i w:val="0"/>
          <w:color w:val="000000"/>
          <w:sz w:val="24"/>
          <w:lang w:val="fr-FR"/>
        </w:rPr>
        <w:t>8.2 - Attribution des marchés</w:t>
      </w:r>
      <w:bookmarkEnd w:id="24"/>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Le jugement des offres sera effectué dans les conditions prévues aux articles L.2152-1 à L.2152-4, R. 2152-1 et R. 2152-2 du Code de la commande publique et donnera lieu à un classement des offres.</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Toute offre demeurant irrégulière pourra être régularisée dans un délai approprié.</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La régularisation d'une offre pourra avoir lieu à condition qu'elle ne soit pas anormalement basse.</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Les critères retenus pour le jugement des offres sont pondérés de la manière suivante :</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spacing w:line="275" w:lineRule="exact"/>
        <w:ind w:left="20" w:right="1040"/>
        <w:jc w:val="both"/>
        <w:rPr>
          <w:rFonts w:ascii="Arial" w:eastAsia="Arial Narrow" w:hAnsi="Arial" w:cs="Arial"/>
          <w:color w:val="000000"/>
          <w:lang w:val="fr-FR"/>
        </w:rPr>
      </w:pPr>
      <w:r w:rsidRPr="008E7B62">
        <w:rPr>
          <w:rFonts w:ascii="Arial" w:eastAsia="Arial Narrow" w:hAnsi="Arial" w:cs="Arial"/>
          <w:color w:val="000000"/>
          <w:lang w:val="fr-FR"/>
        </w:rPr>
        <w:t>Pour tous les lots</w:t>
      </w:r>
    </w:p>
    <w:p w:rsidR="00E25241" w:rsidRPr="008E7B62" w:rsidRDefault="00E25241" w:rsidP="00E25241">
      <w:pPr>
        <w:spacing w:line="275" w:lineRule="exact"/>
        <w:ind w:left="20" w:right="1040"/>
        <w:jc w:val="both"/>
        <w:rPr>
          <w:rFonts w:ascii="Arial" w:eastAsia="Arial Narrow" w:hAnsi="Arial" w:cs="Arial"/>
          <w:color w:val="000000"/>
          <w:lang w:val="fr-FR"/>
        </w:rPr>
      </w:pPr>
    </w:p>
    <w:tbl>
      <w:tblPr>
        <w:tblW w:w="0" w:type="auto"/>
        <w:tblInd w:w="20" w:type="dxa"/>
        <w:tblLayout w:type="fixed"/>
        <w:tblLook w:val="04A0"/>
      </w:tblPr>
      <w:tblGrid>
        <w:gridCol w:w="7800"/>
        <w:gridCol w:w="1800"/>
      </w:tblGrid>
      <w:tr w:rsidR="00E25241" w:rsidRPr="008E7B62" w:rsidTr="003F4014">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E25241" w:rsidRPr="008E7B62" w:rsidRDefault="00E25241" w:rsidP="003F4014">
            <w:pPr>
              <w:spacing w:before="40"/>
              <w:jc w:val="center"/>
              <w:rPr>
                <w:rFonts w:ascii="Arial" w:eastAsia="Arial Narrow" w:hAnsi="Arial" w:cs="Arial"/>
                <w:color w:val="000000"/>
                <w:lang w:val="fr-FR"/>
              </w:rPr>
            </w:pPr>
            <w:r w:rsidRPr="008E7B62">
              <w:rPr>
                <w:rFonts w:ascii="Arial" w:eastAsia="Arial Narrow" w:hAnsi="Arial" w:cs="Arial"/>
                <w:color w:val="000000"/>
                <w:lang w:val="fr-FR"/>
              </w:rPr>
              <w:t>Pondération</w:t>
            </w:r>
          </w:p>
        </w:tc>
      </w:tr>
      <w:tr w:rsidR="00E25241" w:rsidRPr="008E7B62" w:rsidTr="003F4014">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1- 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50.0</w:t>
            </w:r>
          </w:p>
        </w:tc>
      </w:tr>
      <w:tr w:rsidR="00E25241" w:rsidRPr="008E7B62" w:rsidTr="003F4014">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2- 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40.0</w:t>
            </w:r>
          </w:p>
        </w:tc>
      </w:tr>
      <w:tr w:rsidR="00E25241" w:rsidRPr="008E7B62" w:rsidTr="003F4014">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3-Délais d’exécution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25241" w:rsidRPr="008E7B62" w:rsidRDefault="00E25241" w:rsidP="003F4014">
            <w:pPr>
              <w:spacing w:before="120" w:after="40"/>
              <w:ind w:left="80" w:right="80"/>
              <w:jc w:val="both"/>
              <w:rPr>
                <w:rFonts w:ascii="Arial" w:eastAsia="Arial Narrow" w:hAnsi="Arial" w:cs="Arial"/>
                <w:color w:val="000000"/>
                <w:sz w:val="20"/>
                <w:lang w:val="fr-FR"/>
              </w:rPr>
            </w:pPr>
            <w:r w:rsidRPr="008E7B62">
              <w:rPr>
                <w:rFonts w:ascii="Arial" w:eastAsia="Arial Narrow" w:hAnsi="Arial" w:cs="Arial"/>
                <w:color w:val="000000"/>
                <w:sz w:val="20"/>
                <w:lang w:val="fr-FR"/>
              </w:rPr>
              <w:t>10.0</w:t>
            </w:r>
          </w:p>
        </w:tc>
      </w:tr>
    </w:tbl>
    <w:p w:rsidR="00E25241" w:rsidRPr="008E7B62" w:rsidRDefault="00E25241" w:rsidP="00E25241">
      <w:pPr>
        <w:spacing w:line="20" w:lineRule="exact"/>
        <w:rPr>
          <w:rFonts w:ascii="Arial" w:hAnsi="Arial" w:cs="Arial"/>
          <w:sz w:val="2"/>
        </w:rPr>
      </w:pPr>
      <w:r w:rsidRPr="008E7B62">
        <w:rPr>
          <w:rFonts w:ascii="Arial" w:hAnsi="Arial" w:cs="Arial"/>
          <w:sz w:val="2"/>
        </w:rPr>
        <w:t>*</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Chaque candidat se verra attribuer une note globale sur 100.</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La pondération de chaque critère correspond au nombre de points maximum pouvant être obtenus par le candidat.</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La méthode de calcul utilisée pour la notation du critère Prix des prestations est la suivante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Note de l'offre = (Montant de l'offre moins-</w:t>
      </w:r>
      <w:proofErr w:type="spellStart"/>
      <w:r w:rsidRPr="008E7B62">
        <w:rPr>
          <w:rFonts w:ascii="Arial" w:hAnsi="Arial" w:cs="Arial"/>
          <w:color w:val="000000"/>
          <w:lang w:val="fr-FR"/>
        </w:rPr>
        <w:t>disante</w:t>
      </w:r>
      <w:proofErr w:type="spellEnd"/>
      <w:r w:rsidRPr="008E7B62">
        <w:rPr>
          <w:rFonts w:ascii="Arial" w:hAnsi="Arial" w:cs="Arial"/>
          <w:color w:val="000000"/>
          <w:lang w:val="fr-FR"/>
        </w:rPr>
        <w:t xml:space="preserve"> / Montant de l'offre à noter) * Base de notation</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Montant de l'offre moins-</w:t>
      </w:r>
      <w:proofErr w:type="spellStart"/>
      <w:r w:rsidRPr="008E7B62">
        <w:rPr>
          <w:rFonts w:ascii="Arial" w:hAnsi="Arial" w:cs="Arial"/>
          <w:color w:val="000000"/>
          <w:lang w:val="fr-FR"/>
        </w:rPr>
        <w:t>disante</w:t>
      </w:r>
      <w:proofErr w:type="spellEnd"/>
      <w:r w:rsidRPr="008E7B62">
        <w:rPr>
          <w:rFonts w:ascii="Arial" w:hAnsi="Arial" w:cs="Arial"/>
          <w:color w:val="000000"/>
          <w:lang w:val="fr-FR"/>
        </w:rPr>
        <w:t xml:space="preserve"> = correspond au prix de l'offre la moins chère (offres anormalement basses exclues).</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Montant de l'offre à noter = correspond au prix de l'offre à évaluer.</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lastRenderedPageBreak/>
        <w:t>Base de notation = correspond à la note maximale pouvant être obtenue.</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La valeur technique sera jugée au regard du mémoire technique.</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Dans le cas où des erreurs purement matérielles (de multiplication, d'addition ou de report) seraient constatées dans l'offre du candidat, l'entreprise sera invitée à confirmer l'offre rectifiée ; en cas de refus, son offre sera éliminée comme non cohérente.</w:t>
      </w:r>
    </w:p>
    <w:p w:rsidR="00E25241" w:rsidRPr="008E7B62" w:rsidRDefault="00E25241" w:rsidP="00E25241">
      <w:pPr>
        <w:pStyle w:val="Titre2"/>
        <w:ind w:left="300" w:right="20"/>
        <w:jc w:val="both"/>
        <w:rPr>
          <w:rFonts w:eastAsia="Arial Narrow"/>
          <w:i w:val="0"/>
          <w:color w:val="000000"/>
          <w:sz w:val="24"/>
          <w:lang w:val="fr-FR"/>
        </w:rPr>
      </w:pPr>
      <w:bookmarkStart w:id="25" w:name="_Toc256000027"/>
      <w:r w:rsidRPr="008E7B62">
        <w:rPr>
          <w:rFonts w:eastAsia="Arial Narrow"/>
          <w:i w:val="0"/>
          <w:color w:val="000000"/>
          <w:sz w:val="24"/>
          <w:lang w:val="fr-FR"/>
        </w:rPr>
        <w:t>8.3 - Suite à donner à la consultation</w:t>
      </w:r>
      <w:bookmarkEnd w:id="25"/>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Après examen des offres, le pouvoir adjudicateur engagera des négociations avec tous les candidats sélectionnés. Toutefois, le pouvoir adjudicateur se réserve la possibilité d'attribuer le marché sur la base des offres initiales, sans négociation.</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L'offre la mieux classée sera donc retenue à titre provisoire en attendant que le ou les candidats produisent les certificats et attestations des articles R. 2143-6 à R. 2143-10 du Code de la commande publique. Le délai imparti par le pouvoir adjudicateur pour remettre ces documents ne pourra être supérieur à 10 jours.</w:t>
      </w:r>
    </w:p>
    <w:p w:rsidR="00E25241" w:rsidRPr="008E7B62" w:rsidRDefault="00E25241" w:rsidP="00E25241">
      <w:pPr>
        <w:pStyle w:val="ParagrapheIndent2"/>
        <w:spacing w:after="240"/>
        <w:ind w:left="20" w:right="20"/>
        <w:jc w:val="both"/>
        <w:rPr>
          <w:rFonts w:ascii="Arial" w:hAnsi="Arial" w:cs="Arial"/>
          <w:color w:val="000000"/>
          <w:lang w:val="fr-FR"/>
        </w:rPr>
      </w:pPr>
      <w:r w:rsidRPr="008E7B62">
        <w:rPr>
          <w:rFonts w:ascii="Arial" w:hAnsi="Arial" w:cs="Arial"/>
          <w:color w:val="000000"/>
          <w:lang w:val="fr-FR"/>
        </w:rPr>
        <w:t>Une attestation d'assurance décennale devra également être produite dans le même délai.</w:t>
      </w:r>
    </w:p>
    <w:p w:rsidR="00E25241" w:rsidRPr="008E7B62" w:rsidRDefault="00E25241" w:rsidP="00E25241">
      <w:pPr>
        <w:pStyle w:val="Titre1"/>
        <w:rPr>
          <w:rFonts w:eastAsia="Arial Narrow"/>
          <w:color w:val="000000"/>
          <w:sz w:val="28"/>
          <w:lang w:val="fr-FR"/>
        </w:rPr>
      </w:pPr>
      <w:bookmarkStart w:id="26" w:name="_Toc256000028"/>
      <w:r w:rsidRPr="008E7B62">
        <w:rPr>
          <w:rFonts w:eastAsia="Arial Narrow"/>
          <w:color w:val="000000"/>
          <w:sz w:val="28"/>
          <w:lang w:val="fr-FR"/>
        </w:rPr>
        <w:t>9 - Renseignements complémentaires</w:t>
      </w:r>
      <w:bookmarkEnd w:id="26"/>
    </w:p>
    <w:p w:rsidR="00E25241" w:rsidRPr="008E7B62" w:rsidRDefault="00E25241" w:rsidP="00E25241">
      <w:pPr>
        <w:pStyle w:val="Titre2"/>
        <w:ind w:left="300" w:right="20"/>
        <w:jc w:val="both"/>
        <w:rPr>
          <w:rFonts w:eastAsia="Arial Narrow"/>
          <w:i w:val="0"/>
          <w:color w:val="000000"/>
          <w:sz w:val="24"/>
          <w:lang w:val="fr-FR"/>
        </w:rPr>
      </w:pPr>
      <w:bookmarkStart w:id="27" w:name="_Toc256000029"/>
      <w:r w:rsidRPr="008E7B62">
        <w:rPr>
          <w:rFonts w:eastAsia="Arial Narrow"/>
          <w:i w:val="0"/>
          <w:color w:val="000000"/>
          <w:sz w:val="24"/>
          <w:lang w:val="fr-FR"/>
        </w:rPr>
        <w:t>9.1 - Adresses supplémentaires et points de contact</w:t>
      </w:r>
      <w:bookmarkEnd w:id="27"/>
    </w:p>
    <w:p w:rsidR="00E25241" w:rsidRPr="008E7B62" w:rsidRDefault="00E25241" w:rsidP="00E25241">
      <w:pPr>
        <w:tabs>
          <w:tab w:val="left" w:pos="284"/>
        </w:tabs>
        <w:spacing w:before="100" w:beforeAutospacing="1" w:after="100" w:afterAutospacing="1"/>
        <w:jc w:val="both"/>
        <w:rPr>
          <w:rFonts w:ascii="Arial" w:hAnsi="Arial" w:cs="Arial"/>
          <w:color w:val="000000"/>
          <w:lang w:val="fr-FR"/>
        </w:rPr>
      </w:pPr>
      <w:r w:rsidRPr="008E7B62">
        <w:rPr>
          <w:rFonts w:ascii="Arial" w:hAnsi="Arial" w:cs="Arial"/>
          <w:color w:val="000000"/>
          <w:lang w:val="fr-FR"/>
        </w:rPr>
        <w:t xml:space="preserve">Pour tout renseignement complémentaire concernant cette consultation, les candidats transmettent impérativement leur demande par l'intermédiaire du profil d'acheteur du pouvoir adjudicateur, dont l'adresse URL est la suivante : </w:t>
      </w:r>
    </w:p>
    <w:p w:rsidR="00E25241" w:rsidRPr="008E7B62" w:rsidRDefault="00E25241" w:rsidP="00E25241">
      <w:pPr>
        <w:tabs>
          <w:tab w:val="left" w:pos="284"/>
        </w:tabs>
        <w:spacing w:before="100" w:beforeAutospacing="1" w:after="100" w:afterAutospacing="1"/>
        <w:jc w:val="both"/>
        <w:rPr>
          <w:rFonts w:ascii="Arial" w:hAnsi="Arial" w:cs="Arial"/>
          <w:lang w:val="fr-FR" w:eastAsia="fr-FR"/>
        </w:rPr>
      </w:pPr>
      <w:r w:rsidRPr="008E7B62">
        <w:rPr>
          <w:rFonts w:ascii="Arial" w:hAnsi="Arial" w:cs="Arial"/>
          <w:lang w:val="fr-FR" w:eastAsia="fr-FR"/>
        </w:rPr>
        <w:t> </w:t>
      </w:r>
      <w:hyperlink r:id="rId10" w:history="1">
        <w:r w:rsidRPr="008E7B62">
          <w:rPr>
            <w:rFonts w:ascii="Arial" w:hAnsi="Arial" w:cs="Arial"/>
            <w:b/>
            <w:u w:val="single"/>
            <w:lang w:val="fr-FR" w:eastAsia="fr-FR"/>
          </w:rPr>
          <w:t>https://mapa.aji-france.com/mapa/marche/</w:t>
        </w:r>
      </w:hyperlink>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Cette demande doit intervenir au plus tard 8 jours avant la date limite de réception des offres.</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Une réponse sera alors adressée, à toutes les entreprises ayant retiré le dossier ou l'ayant téléchargé après identification, 5 jours au plus tard avant la date limite de réception des offres.</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Les documents de la consultation sont communiqués aux candidats dans les 5 jours qui suivent la réception de leur demande.</w:t>
      </w:r>
    </w:p>
    <w:p w:rsidR="00E25241" w:rsidRPr="008E7B62" w:rsidRDefault="00E25241" w:rsidP="00E25241">
      <w:pPr>
        <w:pStyle w:val="Titre2"/>
        <w:ind w:left="300" w:right="20"/>
        <w:jc w:val="both"/>
        <w:rPr>
          <w:rFonts w:eastAsia="Arial Narrow"/>
          <w:i w:val="0"/>
          <w:color w:val="000000"/>
          <w:sz w:val="24"/>
          <w:lang w:val="fr-FR"/>
        </w:rPr>
      </w:pPr>
      <w:bookmarkStart w:id="28" w:name="_Toc256000030"/>
      <w:r w:rsidRPr="008E7B62">
        <w:rPr>
          <w:rFonts w:eastAsia="Arial Narrow"/>
          <w:i w:val="0"/>
          <w:color w:val="000000"/>
          <w:sz w:val="24"/>
          <w:lang w:val="fr-FR"/>
        </w:rPr>
        <w:t>9.2 - Procédures de recours</w:t>
      </w:r>
      <w:bookmarkEnd w:id="28"/>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Le tribunal territorialement compétent est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Tribunal Administratif de Clermont-Ferrand</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 cours Sablon</w:t>
      </w:r>
    </w:p>
    <w:p w:rsidR="00E25241" w:rsidRPr="008E7B62" w:rsidRDefault="00E25241" w:rsidP="00E25241">
      <w:pPr>
        <w:spacing w:line="20" w:lineRule="exact"/>
        <w:rPr>
          <w:rFonts w:ascii="Arial" w:hAnsi="Arial" w:cs="Arial"/>
          <w:sz w:val="2"/>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63000 CLERMONT FERRAND</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A l'attention de : Monsieur Le Procureur du Tribunal Administratif</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Tél : 04.73.14.61.00</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Courriel : greffe.ta-clermont-ferrand@juradm.fr</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lastRenderedPageBreak/>
        <w:t>Les voies de recours ouvertes aux candidats sont les suivantes : Voies et délais des recours dont dispose le candidat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Référé précontractuel prévu aux articles L. 551-1 à L. 551-12 du code de justice administrative (CJA), et pouvant être exercé avant la signature du contrat.</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Référé contractuel prévu aux articles L.551-13 à L.551-23 du CJA, et pouvant être exercé dans les délais prévus à l'article R. 551-7 du CJA.</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Recours de pleine juridiction ouvert aux concurrents évincés, et pouvant être exercé dans les deux mois suivant la date à laquelle la conclusion du contrat est rendue publique.</w:t>
      </w:r>
    </w:p>
    <w:p w:rsidR="00E25241" w:rsidRPr="008E7B62" w:rsidRDefault="00E25241" w:rsidP="00E25241">
      <w:pPr>
        <w:pStyle w:val="ParagrapheIndent2"/>
        <w:spacing w:after="240" w:line="275" w:lineRule="exact"/>
        <w:ind w:left="20" w:right="20"/>
        <w:jc w:val="both"/>
        <w:rPr>
          <w:rFonts w:ascii="Arial" w:hAnsi="Arial" w:cs="Arial"/>
          <w:color w:val="000000"/>
          <w:lang w:val="fr-FR"/>
        </w:rPr>
      </w:pPr>
      <w:r w:rsidRPr="008E7B62">
        <w:rPr>
          <w:rFonts w:ascii="Arial" w:hAnsi="Arial" w:cs="Arial"/>
          <w:color w:val="000000"/>
          <w:lang w:val="fr-FR"/>
        </w:rPr>
        <w:t>- Recours contre une décision administrative prévu aux articles R. 421-1 à R. 421-7 du CJA, et pouvant être exercé dans les 2 mois suivant la notification ou publication de la décision de l'organisme.</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Pour obtenir des renseignements relatifs à l'introduction des recours, les candidats devront s'adresser à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Tribunal Administratif de Clermont-Ferrand</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 cours Sablon</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63000 CLERMONT FERRAND</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A l'attention de : Monsieur Le Procureur du Tribunal Administratif</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Tél : 04.73.14.61.00</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Courriel : greffe.ta-clermont-ferrand@juradm.fr</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after="240" w:line="275" w:lineRule="exact"/>
        <w:ind w:left="20" w:right="20"/>
        <w:jc w:val="both"/>
        <w:rPr>
          <w:rFonts w:ascii="Arial" w:hAnsi="Arial" w:cs="Arial"/>
          <w:b/>
          <w:color w:val="000000"/>
          <w:u w:val="single"/>
          <w:lang w:val="fr-FR"/>
        </w:rPr>
      </w:pPr>
      <w:r w:rsidRPr="008E7B62">
        <w:rPr>
          <w:rFonts w:ascii="Arial" w:hAnsi="Arial" w:cs="Arial"/>
          <w:color w:val="000000"/>
          <w:lang w:val="fr-FR"/>
        </w:rPr>
        <w:t xml:space="preserve">Le tribunal administratif peut être saisi par l'application informatique </w:t>
      </w:r>
      <w:r w:rsidRPr="008E7B62">
        <w:rPr>
          <w:rFonts w:ascii="Arial" w:hAnsi="Arial" w:cs="Arial"/>
          <w:b/>
          <w:color w:val="000000"/>
          <w:lang w:val="fr-FR"/>
        </w:rPr>
        <w:t>"</w:t>
      </w:r>
      <w:proofErr w:type="spellStart"/>
      <w:r w:rsidRPr="008E7B62">
        <w:rPr>
          <w:rFonts w:ascii="Arial" w:hAnsi="Arial" w:cs="Arial"/>
          <w:b/>
          <w:color w:val="000000"/>
          <w:lang w:val="fr-FR"/>
        </w:rPr>
        <w:t>Télérecours</w:t>
      </w:r>
      <w:proofErr w:type="spellEnd"/>
      <w:r w:rsidRPr="008E7B62">
        <w:rPr>
          <w:rFonts w:ascii="Arial" w:hAnsi="Arial" w:cs="Arial"/>
          <w:b/>
          <w:color w:val="000000"/>
          <w:lang w:val="fr-FR"/>
        </w:rPr>
        <w:t xml:space="preserve"> citoyens" </w:t>
      </w:r>
      <w:r w:rsidRPr="008E7B62">
        <w:rPr>
          <w:rFonts w:ascii="Arial" w:hAnsi="Arial" w:cs="Arial"/>
          <w:color w:val="000000"/>
          <w:lang w:val="fr-FR"/>
        </w:rPr>
        <w:t>accessible par le site Internet</w:t>
      </w:r>
      <w:r w:rsidRPr="008E7B62">
        <w:rPr>
          <w:rFonts w:ascii="Arial" w:hAnsi="Arial" w:cs="Arial"/>
          <w:b/>
          <w:color w:val="000000"/>
          <w:lang w:val="fr-FR"/>
        </w:rPr>
        <w:t xml:space="preserve"> </w:t>
      </w:r>
      <w:hyperlink r:id="rId11" w:history="1">
        <w:r w:rsidRPr="008E7B62">
          <w:rPr>
            <w:rFonts w:ascii="Arial" w:hAnsi="Arial" w:cs="Arial"/>
            <w:b/>
            <w:color w:val="000000"/>
            <w:u w:val="single"/>
            <w:lang w:val="fr-FR"/>
          </w:rPr>
          <w:t>www.telerecours.fr</w:t>
        </w:r>
      </w:hyperlink>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En cas de difficultés survenant lors de la procédure de passation, l'organe chargé de jouer le rôle de médiateur est :</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xml:space="preserve">Comité Consultatif </w:t>
      </w:r>
      <w:proofErr w:type="spellStart"/>
      <w:r w:rsidRPr="008E7B62">
        <w:rPr>
          <w:rFonts w:ascii="Arial" w:hAnsi="Arial" w:cs="Arial"/>
          <w:color w:val="000000"/>
          <w:lang w:val="fr-FR"/>
        </w:rPr>
        <w:t>Inter-régional</w:t>
      </w:r>
      <w:proofErr w:type="spellEnd"/>
      <w:r w:rsidRPr="008E7B62">
        <w:rPr>
          <w:rFonts w:ascii="Arial" w:hAnsi="Arial" w:cs="Arial"/>
          <w:color w:val="000000"/>
          <w:lang w:val="fr-FR"/>
        </w:rPr>
        <w:t xml:space="preserve"> de Règlement Amiable des litiges relatifs aux Marchés Publics de LYON</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119 avenue Maréchal de Saxe</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69427 LYON CEDEX</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 xml:space="preserve">A l'attention de : Monsieur </w:t>
      </w:r>
      <w:proofErr w:type="spellStart"/>
      <w:r w:rsidRPr="008E7B62">
        <w:rPr>
          <w:rFonts w:ascii="Arial" w:hAnsi="Arial" w:cs="Arial"/>
          <w:color w:val="000000"/>
          <w:lang w:val="fr-FR"/>
        </w:rPr>
        <w:t>Jérome</w:t>
      </w:r>
      <w:proofErr w:type="spellEnd"/>
      <w:r w:rsidRPr="008E7B62">
        <w:rPr>
          <w:rFonts w:ascii="Arial" w:hAnsi="Arial" w:cs="Arial"/>
          <w:color w:val="000000"/>
          <w:lang w:val="fr-FR"/>
        </w:rPr>
        <w:t xml:space="preserve"> DOSSI</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Tél : 03.45.21.82.43</w:t>
      </w:r>
    </w:p>
    <w:p w:rsidR="00E25241" w:rsidRPr="008E7B62" w:rsidRDefault="00E25241" w:rsidP="00E25241">
      <w:pPr>
        <w:pStyle w:val="ParagrapheIndent2"/>
        <w:spacing w:line="275" w:lineRule="exact"/>
        <w:ind w:left="20" w:right="20"/>
        <w:jc w:val="both"/>
        <w:rPr>
          <w:rFonts w:ascii="Arial" w:hAnsi="Arial" w:cs="Arial"/>
          <w:color w:val="000000"/>
          <w:lang w:val="fr-FR"/>
        </w:rPr>
      </w:pPr>
      <w:r w:rsidRPr="008E7B62">
        <w:rPr>
          <w:rFonts w:ascii="Arial" w:hAnsi="Arial" w:cs="Arial"/>
          <w:color w:val="000000"/>
          <w:lang w:val="fr-FR"/>
        </w:rPr>
        <w:t>Courriel : jeromedossi@crtc.ccomptes.fr</w:t>
      </w:r>
    </w:p>
    <w:p w:rsidR="00E25241" w:rsidRPr="008E7B62" w:rsidRDefault="00E25241" w:rsidP="00E25241">
      <w:pPr>
        <w:pStyle w:val="ParagrapheIndent2"/>
        <w:spacing w:line="275" w:lineRule="exact"/>
        <w:ind w:left="20" w:right="20"/>
        <w:jc w:val="both"/>
        <w:rPr>
          <w:rFonts w:ascii="Arial" w:hAnsi="Arial" w:cs="Arial"/>
          <w:color w:val="000000"/>
          <w:lang w:val="fr-FR"/>
        </w:rPr>
      </w:pPr>
    </w:p>
    <w:p w:rsidR="00E25241" w:rsidRPr="008E7B62" w:rsidRDefault="00E25241" w:rsidP="00E25241">
      <w:pPr>
        <w:rPr>
          <w:rFonts w:ascii="Arial" w:hAnsi="Arial" w:cs="Arial"/>
          <w:lang w:val="fr-FR"/>
        </w:rPr>
      </w:pPr>
    </w:p>
    <w:p w:rsidR="00AC71B8" w:rsidRPr="008E7B62" w:rsidRDefault="00AC71B8">
      <w:pPr>
        <w:rPr>
          <w:rFonts w:ascii="Arial" w:hAnsi="Arial" w:cs="Arial"/>
          <w:lang w:val="fr-FR"/>
        </w:rPr>
      </w:pPr>
    </w:p>
    <w:sectPr w:rsidR="00AC71B8" w:rsidRPr="008E7B62" w:rsidSect="008D0D22">
      <w:footerReference w:type="default" r:id="rId12"/>
      <w:pgSz w:w="11900" w:h="16840"/>
      <w:pgMar w:top="1134" w:right="1134" w:bottom="1126" w:left="1134" w:header="1134" w:footer="112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AE" w:rsidRDefault="005764AE" w:rsidP="00DB2182">
      <w:r>
        <w:separator/>
      </w:r>
    </w:p>
  </w:endnote>
  <w:endnote w:type="continuationSeparator" w:id="0">
    <w:p w:rsidR="005764AE" w:rsidRDefault="005764AE" w:rsidP="00DB2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E3" w:rsidRDefault="005764AE">
    <w:pPr>
      <w:spacing w:line="240" w:lineRule="exact"/>
    </w:pPr>
  </w:p>
  <w:tbl>
    <w:tblPr>
      <w:tblW w:w="0" w:type="auto"/>
      <w:tblInd w:w="20" w:type="dxa"/>
      <w:tblLayout w:type="fixed"/>
      <w:tblLook w:val="04A0"/>
    </w:tblPr>
    <w:tblGrid>
      <w:gridCol w:w="5220"/>
      <w:gridCol w:w="4400"/>
    </w:tblGrid>
    <w:tr w:rsidR="006816E3">
      <w:trPr>
        <w:trHeight w:val="260"/>
      </w:trPr>
      <w:tc>
        <w:tcPr>
          <w:tcW w:w="5220" w:type="dxa"/>
          <w:tcMar>
            <w:top w:w="0" w:type="dxa"/>
            <w:left w:w="0" w:type="dxa"/>
            <w:bottom w:w="0" w:type="dxa"/>
            <w:right w:w="0" w:type="dxa"/>
          </w:tcMar>
          <w:vAlign w:val="center"/>
        </w:tcPr>
        <w:p w:rsidR="00C76C3D" w:rsidRPr="00C76C3D" w:rsidRDefault="005764AE" w:rsidP="00C76C3D">
          <w:pPr>
            <w:rPr>
              <w:lang w:val="fr-FR"/>
            </w:rPr>
          </w:pPr>
        </w:p>
      </w:tc>
      <w:tc>
        <w:tcPr>
          <w:tcW w:w="4400" w:type="dxa"/>
          <w:tcMar>
            <w:top w:w="0" w:type="dxa"/>
            <w:left w:w="0" w:type="dxa"/>
            <w:bottom w:w="0" w:type="dxa"/>
            <w:right w:w="0" w:type="dxa"/>
          </w:tcMar>
          <w:vAlign w:val="center"/>
        </w:tcPr>
        <w:p w:rsidR="006816E3" w:rsidRDefault="00F77E4F">
          <w:pPr>
            <w:pStyle w:val="PiedDePage"/>
            <w:jc w:val="right"/>
            <w:rPr>
              <w:color w:val="000000"/>
              <w:lang w:val="fr-FR"/>
            </w:rPr>
          </w:pPr>
          <w:r>
            <w:rPr>
              <w:color w:val="000000"/>
              <w:lang w:val="fr-FR"/>
            </w:rPr>
            <w:t xml:space="preserve">Page </w:t>
          </w:r>
          <w:r w:rsidR="00B84953">
            <w:rPr>
              <w:color w:val="000000"/>
              <w:lang w:val="fr-FR"/>
            </w:rPr>
            <w:fldChar w:fldCharType="begin"/>
          </w:r>
          <w:r>
            <w:rPr>
              <w:color w:val="000000"/>
              <w:lang w:val="fr-FR"/>
            </w:rPr>
            <w:instrText xml:space="preserve"> PAGE </w:instrText>
          </w:r>
          <w:r w:rsidR="00B84953">
            <w:rPr>
              <w:color w:val="000000"/>
              <w:lang w:val="fr-FR"/>
            </w:rPr>
            <w:fldChar w:fldCharType="separate"/>
          </w:r>
          <w:r w:rsidR="00B00CB0">
            <w:rPr>
              <w:noProof/>
              <w:color w:val="000000"/>
              <w:lang w:val="fr-FR"/>
            </w:rPr>
            <w:t>2</w:t>
          </w:r>
          <w:r w:rsidR="00B84953">
            <w:rPr>
              <w:color w:val="000000"/>
              <w:lang w:val="fr-FR"/>
            </w:rPr>
            <w:fldChar w:fldCharType="end"/>
          </w:r>
          <w:r>
            <w:rPr>
              <w:color w:val="000000"/>
              <w:lang w:val="fr-FR"/>
            </w:rPr>
            <w:t xml:space="preserve"> sur </w:t>
          </w:r>
          <w:r w:rsidR="00B84953">
            <w:rPr>
              <w:color w:val="000000"/>
              <w:lang w:val="fr-FR"/>
            </w:rPr>
            <w:fldChar w:fldCharType="begin"/>
          </w:r>
          <w:r>
            <w:rPr>
              <w:color w:val="000000"/>
              <w:lang w:val="fr-FR"/>
            </w:rPr>
            <w:instrText xml:space="preserve"> NUMPAGES </w:instrText>
          </w:r>
          <w:r w:rsidR="00B84953">
            <w:rPr>
              <w:color w:val="000000"/>
              <w:lang w:val="fr-FR"/>
            </w:rPr>
            <w:fldChar w:fldCharType="separate"/>
          </w:r>
          <w:r w:rsidR="00B00CB0">
            <w:rPr>
              <w:noProof/>
              <w:color w:val="000000"/>
              <w:lang w:val="fr-FR"/>
            </w:rPr>
            <w:t>10</w:t>
          </w:r>
          <w:r w:rsidR="00B84953">
            <w:rPr>
              <w:color w:val="000000"/>
              <w:lang w:val="fr-FR"/>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AE" w:rsidRDefault="005764AE" w:rsidP="00DB2182">
      <w:r>
        <w:separator/>
      </w:r>
    </w:p>
  </w:footnote>
  <w:footnote w:type="continuationSeparator" w:id="0">
    <w:p w:rsidR="005764AE" w:rsidRDefault="005764AE" w:rsidP="00DB21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25241"/>
    <w:rsid w:val="000D388A"/>
    <w:rsid w:val="001C20E1"/>
    <w:rsid w:val="00224F72"/>
    <w:rsid w:val="005764AE"/>
    <w:rsid w:val="00706197"/>
    <w:rsid w:val="007633A5"/>
    <w:rsid w:val="00834369"/>
    <w:rsid w:val="008E7B62"/>
    <w:rsid w:val="00967E33"/>
    <w:rsid w:val="00AC71B8"/>
    <w:rsid w:val="00B00CB0"/>
    <w:rsid w:val="00B84953"/>
    <w:rsid w:val="00BA0DFD"/>
    <w:rsid w:val="00DB2182"/>
    <w:rsid w:val="00E25241"/>
    <w:rsid w:val="00F26231"/>
    <w:rsid w:val="00F77E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41"/>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E25241"/>
    <w:pPr>
      <w:keepNext/>
      <w:spacing w:after="120"/>
      <w:outlineLvl w:val="0"/>
    </w:pPr>
    <w:rPr>
      <w:rFonts w:ascii="Arial" w:hAnsi="Arial" w:cs="Arial"/>
      <w:b/>
      <w:bCs/>
      <w:kern w:val="32"/>
      <w:sz w:val="32"/>
      <w:szCs w:val="32"/>
    </w:rPr>
  </w:style>
  <w:style w:type="paragraph" w:styleId="Titre2">
    <w:name w:val="heading 2"/>
    <w:basedOn w:val="Normal"/>
    <w:next w:val="Normal"/>
    <w:link w:val="Titre2Car"/>
    <w:qFormat/>
    <w:rsid w:val="00E25241"/>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5241"/>
    <w:rPr>
      <w:rFonts w:ascii="Arial" w:eastAsia="Times New Roman" w:hAnsi="Arial" w:cs="Arial"/>
      <w:b/>
      <w:bCs/>
      <w:kern w:val="32"/>
      <w:sz w:val="32"/>
      <w:szCs w:val="32"/>
      <w:lang w:val="en-US"/>
    </w:rPr>
  </w:style>
  <w:style w:type="character" w:customStyle="1" w:styleId="Titre2Car">
    <w:name w:val="Titre 2 Car"/>
    <w:basedOn w:val="Policepardfaut"/>
    <w:link w:val="Titre2"/>
    <w:rsid w:val="00E25241"/>
    <w:rPr>
      <w:rFonts w:ascii="Arial" w:eastAsia="Times New Roman" w:hAnsi="Arial" w:cs="Arial"/>
      <w:b/>
      <w:bCs/>
      <w:i/>
      <w:iCs/>
      <w:sz w:val="28"/>
      <w:szCs w:val="28"/>
      <w:lang w:val="en-US"/>
    </w:rPr>
  </w:style>
  <w:style w:type="paragraph" w:customStyle="1" w:styleId="PiedDePage">
    <w:name w:val="PiedDePage"/>
    <w:basedOn w:val="Normal"/>
    <w:next w:val="Normal"/>
    <w:qFormat/>
    <w:rsid w:val="00E25241"/>
    <w:rPr>
      <w:rFonts w:ascii="Arial Narrow" w:eastAsia="Arial Narrow" w:hAnsi="Arial Narrow" w:cs="Arial Narrow"/>
      <w:sz w:val="18"/>
    </w:rPr>
  </w:style>
  <w:style w:type="paragraph" w:customStyle="1" w:styleId="ParagrapheIndent2">
    <w:name w:val="ParagrapheIndent2"/>
    <w:basedOn w:val="Normal"/>
    <w:next w:val="Normal"/>
    <w:qFormat/>
    <w:rsid w:val="00E25241"/>
    <w:rPr>
      <w:rFonts w:ascii="Arial Narrow" w:eastAsia="Arial Narrow" w:hAnsi="Arial Narrow" w:cs="Arial Narrow"/>
    </w:rPr>
  </w:style>
  <w:style w:type="paragraph" w:customStyle="1" w:styleId="ParagrapheIndent1">
    <w:name w:val="ParagrapheIndent1"/>
    <w:basedOn w:val="Normal"/>
    <w:next w:val="Normal"/>
    <w:qFormat/>
    <w:rsid w:val="00E25241"/>
    <w:rPr>
      <w:rFonts w:ascii="Arial Narrow" w:eastAsia="Arial Narrow" w:hAnsi="Arial Narrow" w:cs="Arial Narrow"/>
    </w:rPr>
  </w:style>
  <w:style w:type="paragraph" w:styleId="TM1">
    <w:name w:val="toc 1"/>
    <w:basedOn w:val="Normal"/>
    <w:next w:val="Normal"/>
    <w:autoRedefine/>
    <w:rsid w:val="00E25241"/>
  </w:style>
  <w:style w:type="paragraph" w:styleId="TM2">
    <w:name w:val="toc 2"/>
    <w:basedOn w:val="Normal"/>
    <w:next w:val="Normal"/>
    <w:autoRedefine/>
    <w:rsid w:val="00E25241"/>
    <w:pPr>
      <w:ind w:left="240"/>
    </w:pPr>
  </w:style>
  <w:style w:type="paragraph" w:styleId="NormalWeb">
    <w:name w:val="Normal (Web)"/>
    <w:basedOn w:val="Normal"/>
    <w:uiPriority w:val="99"/>
    <w:unhideWhenUsed/>
    <w:rsid w:val="00E25241"/>
    <w:pPr>
      <w:spacing w:before="100" w:beforeAutospacing="1" w:after="142" w:line="276" w:lineRule="auto"/>
    </w:pPr>
    <w:rPr>
      <w:lang w:val="fr-FR" w:eastAsia="fr-FR"/>
    </w:rPr>
  </w:style>
  <w:style w:type="character" w:styleId="Lienhypertexte">
    <w:name w:val="Hyperlink"/>
    <w:basedOn w:val="Policepardfaut"/>
    <w:uiPriority w:val="99"/>
    <w:unhideWhenUsed/>
    <w:rsid w:val="008E7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gc-ing.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v.enem.pl/fr/42971000-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hyperlink" Target="https://mapa.aji-france.com/mapa/marche/" TargetMode="External"/><Relationship Id="rId4" Type="http://schemas.openxmlformats.org/officeDocument/2006/relationships/footnotes" Target="footnotes.xml"/><Relationship Id="rId9" Type="http://schemas.openxmlformats.org/officeDocument/2006/relationships/hyperlink" Target="https://mapa.aji-france.com/mapa/march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2600</Words>
  <Characters>14300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intendance4</dc:creator>
  <cp:lastModifiedBy>intendance4</cp:lastModifiedBy>
  <cp:revision>9</cp:revision>
  <dcterms:created xsi:type="dcterms:W3CDTF">2020-04-08T10:04:00Z</dcterms:created>
  <dcterms:modified xsi:type="dcterms:W3CDTF">2020-04-08T12:16:00Z</dcterms:modified>
</cp:coreProperties>
</file>