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DA" w:rsidRDefault="00332FDA">
      <w:pPr>
        <w:jc w:val="center"/>
      </w:pPr>
    </w:p>
    <w:p w:rsidR="007D2B46" w:rsidRPr="007D2B46" w:rsidRDefault="007D2B46">
      <w:pPr>
        <w:jc w:val="center"/>
        <w:rPr>
          <w:rFonts w:ascii="Arial" w:hAnsi="Arial"/>
          <w:b/>
          <w:sz w:val="28"/>
          <w:szCs w:val="28"/>
        </w:rPr>
      </w:pPr>
      <w:r w:rsidRPr="007D2B46">
        <w:rPr>
          <w:rFonts w:ascii="Arial" w:hAnsi="Arial"/>
          <w:b/>
          <w:sz w:val="28"/>
          <w:szCs w:val="28"/>
        </w:rPr>
        <w:t xml:space="preserve">MARCHE PUBLIC </w:t>
      </w:r>
    </w:p>
    <w:p w:rsidR="007D2B46" w:rsidRDefault="007D2B46">
      <w:pPr>
        <w:jc w:val="center"/>
        <w:rPr>
          <w:rFonts w:ascii="Arial" w:hAnsi="Arial"/>
        </w:rPr>
      </w:pPr>
    </w:p>
    <w:p w:rsidR="009E57D7" w:rsidRPr="007D2B46" w:rsidRDefault="007D2B46">
      <w:pPr>
        <w:jc w:val="center"/>
        <w:rPr>
          <w:rFonts w:ascii="Arial" w:hAnsi="Arial"/>
        </w:rPr>
      </w:pPr>
      <w:r w:rsidRPr="007D2B46">
        <w:rPr>
          <w:rFonts w:ascii="Arial" w:hAnsi="Arial"/>
        </w:rPr>
        <w:t>Portant sur la f</w:t>
      </w:r>
      <w:r w:rsidR="009E57D7" w:rsidRPr="007D2B46">
        <w:rPr>
          <w:rFonts w:ascii="Arial" w:hAnsi="Arial"/>
        </w:rPr>
        <w:t xml:space="preserve">ourniture de </w:t>
      </w:r>
    </w:p>
    <w:p w:rsidR="009E57D7" w:rsidRDefault="009E57D7">
      <w:pPr>
        <w:jc w:val="center"/>
      </w:pPr>
      <w:r>
        <w:rPr>
          <w:rFonts w:ascii="Arial" w:hAnsi="Arial"/>
          <w:b/>
          <w:sz w:val="24"/>
        </w:rPr>
        <w:t xml:space="preserve">PAPIER  </w:t>
      </w:r>
      <w:r w:rsidR="004C2DD9">
        <w:rPr>
          <w:rFonts w:ascii="Arial" w:hAnsi="Arial"/>
          <w:b/>
          <w:sz w:val="24"/>
        </w:rPr>
        <w:t>REPR</w:t>
      </w:r>
      <w:r>
        <w:rPr>
          <w:rFonts w:ascii="Arial" w:hAnsi="Arial"/>
          <w:b/>
          <w:sz w:val="24"/>
        </w:rPr>
        <w:t>OGRAPHIQUE</w:t>
      </w:r>
    </w:p>
    <w:p w:rsidR="00332FDA" w:rsidRPr="00C0532A" w:rsidRDefault="009E57D7">
      <w:pPr>
        <w:jc w:val="center"/>
        <w:rPr>
          <w:rFonts w:ascii="Arial" w:hAnsi="Arial"/>
          <w:sz w:val="18"/>
          <w:szCs w:val="18"/>
        </w:rPr>
      </w:pPr>
      <w:r w:rsidRPr="00C0532A">
        <w:rPr>
          <w:rFonts w:ascii="Arial" w:hAnsi="Arial"/>
          <w:sz w:val="18"/>
          <w:szCs w:val="18"/>
        </w:rPr>
        <w:t>Établi</w:t>
      </w:r>
      <w:r w:rsidR="00332FDA" w:rsidRPr="00C0532A">
        <w:rPr>
          <w:rFonts w:ascii="Arial" w:hAnsi="Arial"/>
          <w:sz w:val="18"/>
          <w:szCs w:val="18"/>
        </w:rPr>
        <w:t xml:space="preserve"> en application </w:t>
      </w:r>
      <w:r w:rsidR="008653EA">
        <w:rPr>
          <w:rFonts w:ascii="Arial" w:hAnsi="Arial"/>
          <w:sz w:val="18"/>
          <w:szCs w:val="18"/>
        </w:rPr>
        <w:t xml:space="preserve">de l’article 27 </w:t>
      </w:r>
      <w:r w:rsidRPr="00C0532A">
        <w:rPr>
          <w:rFonts w:ascii="Arial" w:hAnsi="Arial"/>
          <w:sz w:val="18"/>
          <w:szCs w:val="18"/>
        </w:rPr>
        <w:t xml:space="preserve">du Code des Marchés Publics </w:t>
      </w:r>
    </w:p>
    <w:p w:rsidR="00332FDA" w:rsidRDefault="00332FDA">
      <w:pPr>
        <w:jc w:val="center"/>
        <w:rPr>
          <w:rFonts w:ascii="Arial" w:hAnsi="Arial"/>
          <w:sz w:val="24"/>
        </w:rPr>
      </w:pPr>
    </w:p>
    <w:p w:rsidR="009E57D7" w:rsidRDefault="009E57D7">
      <w:pPr>
        <w:jc w:val="center"/>
        <w:rPr>
          <w:rFonts w:ascii="Arial" w:hAnsi="Arial"/>
          <w:sz w:val="24"/>
        </w:rPr>
      </w:pPr>
      <w:r>
        <w:rPr>
          <w:rFonts w:ascii="Arial" w:hAnsi="Arial"/>
          <w:sz w:val="24"/>
        </w:rPr>
        <w:t>Pour</w:t>
      </w:r>
      <w:r w:rsidR="00332FDA">
        <w:rPr>
          <w:rFonts w:ascii="Arial" w:hAnsi="Arial"/>
          <w:sz w:val="24"/>
        </w:rPr>
        <w:t xml:space="preserve"> la période du: </w:t>
      </w:r>
    </w:p>
    <w:p w:rsidR="00332FDA" w:rsidRPr="004D001D" w:rsidRDefault="00332FDA">
      <w:pPr>
        <w:jc w:val="center"/>
        <w:rPr>
          <w:rFonts w:ascii="Arial" w:hAnsi="Arial"/>
          <w:sz w:val="24"/>
        </w:rPr>
      </w:pPr>
      <w:r w:rsidRPr="004D001D">
        <w:rPr>
          <w:rFonts w:ascii="Arial" w:hAnsi="Arial"/>
          <w:sz w:val="24"/>
        </w:rPr>
        <w:t xml:space="preserve">1er </w:t>
      </w:r>
      <w:r w:rsidR="008653EA">
        <w:rPr>
          <w:rFonts w:ascii="Arial" w:hAnsi="Arial"/>
          <w:sz w:val="24"/>
        </w:rPr>
        <w:t>mars</w:t>
      </w:r>
      <w:r w:rsidR="00E439FF" w:rsidRPr="004D001D">
        <w:rPr>
          <w:rFonts w:ascii="Arial" w:hAnsi="Arial"/>
          <w:sz w:val="24"/>
        </w:rPr>
        <w:t xml:space="preserve"> 201</w:t>
      </w:r>
      <w:r w:rsidR="008653EA">
        <w:rPr>
          <w:rFonts w:ascii="Arial" w:hAnsi="Arial"/>
          <w:sz w:val="24"/>
        </w:rPr>
        <w:t>8</w:t>
      </w:r>
      <w:r w:rsidR="009E57D7" w:rsidRPr="004D001D">
        <w:rPr>
          <w:rFonts w:ascii="Arial" w:hAnsi="Arial"/>
          <w:sz w:val="24"/>
        </w:rPr>
        <w:t xml:space="preserve"> </w:t>
      </w:r>
      <w:r w:rsidR="00244D32" w:rsidRPr="004D001D">
        <w:rPr>
          <w:rFonts w:ascii="Arial" w:hAnsi="Arial"/>
          <w:sz w:val="24"/>
        </w:rPr>
        <w:t xml:space="preserve">au </w:t>
      </w:r>
      <w:r w:rsidR="008653EA">
        <w:rPr>
          <w:rFonts w:ascii="Arial" w:hAnsi="Arial"/>
          <w:sz w:val="24"/>
        </w:rPr>
        <w:t>28 février 2021</w:t>
      </w:r>
    </w:p>
    <w:p w:rsidR="00332FDA" w:rsidRDefault="00332FDA">
      <w:pPr>
        <w:jc w:val="center"/>
        <w:rPr>
          <w:rFonts w:ascii="Arial" w:hAnsi="Arial"/>
          <w:sz w:val="24"/>
        </w:rPr>
      </w:pPr>
    </w:p>
    <w:p w:rsidR="00332FDA" w:rsidRDefault="00332FDA">
      <w:pPr>
        <w:jc w:val="center"/>
        <w:rPr>
          <w:rFonts w:ascii="Arial" w:hAnsi="Arial"/>
        </w:rPr>
      </w:pPr>
      <w:r>
        <w:rPr>
          <w:rFonts w:ascii="Arial" w:hAnsi="Arial"/>
        </w:rPr>
        <w:t xml:space="preserve">Marché renouvelable par reconduction </w:t>
      </w:r>
      <w:r w:rsidR="00A31422">
        <w:rPr>
          <w:rFonts w:ascii="Arial" w:hAnsi="Arial"/>
        </w:rPr>
        <w:t>tacite</w:t>
      </w:r>
      <w:r>
        <w:rPr>
          <w:rFonts w:ascii="Arial" w:hAnsi="Arial"/>
        </w:rPr>
        <w:t>, année par année,</w:t>
      </w:r>
    </w:p>
    <w:p w:rsidR="00332FDA" w:rsidRDefault="00332FDA">
      <w:pPr>
        <w:jc w:val="center"/>
        <w:rPr>
          <w:rFonts w:ascii="Arial" w:hAnsi="Arial"/>
        </w:rPr>
      </w:pPr>
      <w:r>
        <w:rPr>
          <w:rFonts w:ascii="Arial" w:hAnsi="Arial"/>
        </w:rPr>
        <w:t>pour une durée maximale de TROIS ANS.</w:t>
      </w:r>
    </w:p>
    <w:p w:rsidR="00244D32" w:rsidRDefault="00244D32">
      <w:pPr>
        <w:jc w:val="center"/>
        <w:rPr>
          <w:rFonts w:ascii="Arial" w:hAnsi="Arial"/>
        </w:rPr>
      </w:pPr>
    </w:p>
    <w:p w:rsidR="007D2B46" w:rsidRPr="007D2B46" w:rsidRDefault="007D2B46" w:rsidP="007D2B46">
      <w:pPr>
        <w:pStyle w:val="RedNomDoc"/>
        <w:keepNext/>
        <w:shd w:val="pct10" w:color="auto" w:fill="auto"/>
        <w:ind w:right="-1"/>
        <w:rPr>
          <w:rFonts w:cs="Arial"/>
          <w:sz w:val="24"/>
          <w:szCs w:val="24"/>
        </w:rPr>
      </w:pPr>
      <w:r w:rsidRPr="007D2B46">
        <w:rPr>
          <w:rFonts w:cs="Arial"/>
          <w:sz w:val="24"/>
          <w:szCs w:val="24"/>
        </w:rPr>
        <w:t>CAHIER DES CLAUSES PARTICULIERES</w:t>
      </w:r>
      <w:r>
        <w:rPr>
          <w:rFonts w:cs="Arial"/>
          <w:sz w:val="24"/>
          <w:szCs w:val="24"/>
        </w:rPr>
        <w:t>-(CCP)</w:t>
      </w:r>
      <w:r w:rsidRPr="007D2B46">
        <w:rPr>
          <w:rFonts w:cs="Arial"/>
          <w:sz w:val="24"/>
          <w:szCs w:val="24"/>
        </w:rPr>
        <w:t xml:space="preserve"> </w:t>
      </w:r>
    </w:p>
    <w:p w:rsidR="00332FDA" w:rsidRDefault="00332FDA">
      <w:pPr>
        <w:jc w:val="center"/>
        <w:rPr>
          <w:rFonts w:ascii="Arial" w:hAnsi="Arial"/>
          <w:sz w:val="18"/>
        </w:rPr>
      </w:pPr>
    </w:p>
    <w:p w:rsidR="00332FDA" w:rsidRDefault="00332FDA">
      <w:pPr>
        <w:jc w:val="center"/>
        <w:rPr>
          <w:rFonts w:ascii="Arial" w:hAnsi="Arial"/>
          <w:sz w:val="18"/>
        </w:rPr>
      </w:pPr>
      <w:r w:rsidRPr="004D001D">
        <w:rPr>
          <w:rFonts w:ascii="Arial" w:hAnsi="Arial"/>
          <w:sz w:val="18"/>
        </w:rPr>
        <w:t xml:space="preserve">Le présent Cahier des Clauses Particulières comporte </w:t>
      </w:r>
      <w:r w:rsidR="00A364B8">
        <w:rPr>
          <w:rFonts w:ascii="Arial" w:hAnsi="Arial"/>
          <w:sz w:val="18"/>
        </w:rPr>
        <w:t xml:space="preserve">7 </w:t>
      </w:r>
      <w:r w:rsidRPr="004D001D">
        <w:rPr>
          <w:rFonts w:ascii="Arial" w:hAnsi="Arial"/>
          <w:sz w:val="18"/>
        </w:rPr>
        <w:t xml:space="preserve">feuillets numérotés de </w:t>
      </w:r>
      <w:r w:rsidR="00A364B8">
        <w:rPr>
          <w:rFonts w:ascii="Arial" w:hAnsi="Arial"/>
          <w:sz w:val="18"/>
        </w:rPr>
        <w:t>1 à 7</w:t>
      </w:r>
    </w:p>
    <w:p w:rsidR="00B56031" w:rsidRDefault="00B56031">
      <w:pPr>
        <w:jc w:val="center"/>
        <w:rPr>
          <w:rFonts w:ascii="Arial" w:hAnsi="Arial"/>
          <w:sz w:val="18"/>
        </w:rPr>
      </w:pPr>
    </w:p>
    <w:p w:rsidR="00B56031" w:rsidRDefault="00B56031">
      <w:pPr>
        <w:jc w:val="center"/>
        <w:rPr>
          <w:rFonts w:ascii="Arial" w:hAnsi="Arial"/>
          <w:sz w:val="18"/>
        </w:rPr>
      </w:pPr>
    </w:p>
    <w:p w:rsidR="00B56031" w:rsidRPr="005536FC" w:rsidRDefault="00B56031" w:rsidP="00B56031">
      <w:pPr>
        <w:jc w:val="center"/>
        <w:rPr>
          <w:rFonts w:asciiTheme="majorHAnsi" w:hAnsiTheme="majorHAnsi" w:cs="Arial"/>
          <w:b/>
          <w:sz w:val="22"/>
        </w:rPr>
      </w:pPr>
    </w:p>
    <w:p w:rsidR="00B56031" w:rsidRPr="005536FC" w:rsidRDefault="00B56031" w:rsidP="00B56031">
      <w:pPr>
        <w:pStyle w:val="RedTitre1"/>
        <w:keepNext/>
        <w:framePr w:wrap="auto"/>
        <w:widowControl/>
        <w:shd w:val="pct5" w:color="auto" w:fill="auto"/>
        <w:rPr>
          <w:rFonts w:asciiTheme="majorHAnsi" w:hAnsiTheme="majorHAnsi" w:cs="Arial"/>
        </w:rPr>
      </w:pPr>
    </w:p>
    <w:p w:rsidR="00B56031" w:rsidRPr="005536FC" w:rsidRDefault="00B56031" w:rsidP="00B56031">
      <w:pPr>
        <w:pStyle w:val="RedTitre1"/>
        <w:keepNext/>
        <w:framePr w:wrap="auto"/>
        <w:widowControl/>
        <w:shd w:val="pct5" w:color="auto" w:fill="auto"/>
        <w:tabs>
          <w:tab w:val="left" w:pos="2268"/>
        </w:tabs>
        <w:rPr>
          <w:rFonts w:asciiTheme="majorHAnsi" w:hAnsiTheme="majorHAnsi" w:cs="Arial"/>
          <w:sz w:val="24"/>
        </w:rPr>
      </w:pPr>
      <w:r w:rsidRPr="005536FC">
        <w:rPr>
          <w:rFonts w:asciiTheme="majorHAnsi" w:hAnsiTheme="majorHAnsi" w:cs="Arial"/>
          <w:sz w:val="24"/>
        </w:rPr>
        <w:t xml:space="preserve">Personne publique contractante: </w:t>
      </w:r>
    </w:p>
    <w:p w:rsidR="00B56031" w:rsidRPr="005536FC" w:rsidRDefault="00B56031" w:rsidP="00B56031">
      <w:pPr>
        <w:pStyle w:val="RedTitre1"/>
        <w:keepNext/>
        <w:framePr w:wrap="auto"/>
        <w:widowControl/>
        <w:shd w:val="pct5" w:color="auto" w:fill="auto"/>
        <w:tabs>
          <w:tab w:val="left" w:pos="2268"/>
        </w:tabs>
        <w:jc w:val="left"/>
        <w:rPr>
          <w:rFonts w:asciiTheme="majorHAnsi" w:hAnsiTheme="majorHAnsi" w:cs="Arial"/>
          <w:sz w:val="24"/>
        </w:rPr>
      </w:pPr>
    </w:p>
    <w:p w:rsidR="00B56031" w:rsidRPr="005536FC" w:rsidRDefault="00B56031" w:rsidP="00B56031">
      <w:pPr>
        <w:pStyle w:val="RedTitre1"/>
        <w:keepNext/>
        <w:framePr w:wrap="auto"/>
        <w:widowControl/>
        <w:shd w:val="pct5" w:color="auto" w:fill="auto"/>
        <w:tabs>
          <w:tab w:val="left" w:pos="2268"/>
        </w:tabs>
        <w:jc w:val="left"/>
        <w:rPr>
          <w:rFonts w:asciiTheme="majorHAnsi" w:hAnsiTheme="majorHAnsi" w:cs="Arial"/>
          <w:sz w:val="24"/>
        </w:rPr>
      </w:pPr>
      <w:r w:rsidRPr="005536FC">
        <w:rPr>
          <w:rFonts w:asciiTheme="majorHAnsi" w:hAnsiTheme="majorHAnsi" w:cs="Arial"/>
          <w:sz w:val="24"/>
        </w:rPr>
        <w:t xml:space="preserve">Dénomination : lycée </w:t>
      </w:r>
      <w:r w:rsidR="004C2DD9">
        <w:rPr>
          <w:rFonts w:asciiTheme="majorHAnsi" w:hAnsiTheme="majorHAnsi" w:cs="Arial"/>
          <w:sz w:val="24"/>
        </w:rPr>
        <w:t>Antoine Bourdelle</w:t>
      </w:r>
    </w:p>
    <w:p w:rsidR="00B56031" w:rsidRPr="005536FC" w:rsidRDefault="00B56031" w:rsidP="00B56031">
      <w:pPr>
        <w:pStyle w:val="RedTitre1"/>
        <w:keepNext/>
        <w:framePr w:wrap="auto"/>
        <w:widowControl/>
        <w:shd w:val="pct5" w:color="auto" w:fill="auto"/>
        <w:jc w:val="left"/>
        <w:rPr>
          <w:rFonts w:asciiTheme="majorHAnsi" w:hAnsiTheme="majorHAnsi" w:cs="Arial"/>
          <w:sz w:val="24"/>
        </w:rPr>
      </w:pPr>
    </w:p>
    <w:p w:rsidR="00B56031" w:rsidRPr="005536FC" w:rsidRDefault="00B56031" w:rsidP="00B56031">
      <w:pPr>
        <w:pStyle w:val="RedTitre1"/>
        <w:keepNext/>
        <w:framePr w:wrap="auto"/>
        <w:widowControl/>
        <w:shd w:val="pct5" w:color="auto" w:fill="auto"/>
        <w:tabs>
          <w:tab w:val="left" w:pos="2835"/>
          <w:tab w:val="left" w:pos="4536"/>
        </w:tabs>
        <w:jc w:val="left"/>
        <w:rPr>
          <w:rFonts w:asciiTheme="majorHAnsi" w:hAnsiTheme="majorHAnsi" w:cs="Arial"/>
          <w:sz w:val="24"/>
        </w:rPr>
      </w:pPr>
      <w:r w:rsidRPr="005536FC">
        <w:rPr>
          <w:rFonts w:asciiTheme="majorHAnsi" w:hAnsiTheme="majorHAnsi" w:cs="Arial"/>
          <w:sz w:val="24"/>
        </w:rPr>
        <w:t xml:space="preserve">Type d'acheteur public :  </w:t>
      </w:r>
      <w:r w:rsidRPr="005536FC">
        <w:rPr>
          <w:rFonts w:asciiTheme="majorHAnsi" w:hAnsiTheme="majorHAnsi" w:cs="Arial"/>
          <w:sz w:val="24"/>
        </w:rPr>
        <w:tab/>
        <w:t xml:space="preserve"> Etat : </w:t>
      </w:r>
      <w:r w:rsidRPr="005536FC">
        <w:rPr>
          <w:rFonts w:asciiTheme="majorHAnsi" w:hAnsiTheme="majorHAnsi" w:cs="Arial"/>
          <w:sz w:val="24"/>
          <w:bdr w:val="single" w:sz="4" w:space="0" w:color="auto"/>
        </w:rPr>
        <w:t>__</w:t>
      </w:r>
      <w:r w:rsidRPr="005536FC">
        <w:rPr>
          <w:rFonts w:asciiTheme="majorHAnsi" w:hAnsiTheme="majorHAnsi" w:cs="Arial"/>
          <w:sz w:val="24"/>
        </w:rPr>
        <w:tab/>
        <w:t xml:space="preserve">Collectivité territoriale </w:t>
      </w:r>
      <w:r w:rsidR="00A17EC6" w:rsidRPr="005536FC">
        <w:rPr>
          <w:rFonts w:asciiTheme="majorHAnsi" w:hAnsiTheme="majorHAnsi" w:cs="Arial"/>
          <w:sz w:val="24"/>
        </w:rPr>
        <w:t xml:space="preserve">: </w:t>
      </w:r>
      <w:r w:rsidR="00A17EC6" w:rsidRPr="005536FC">
        <w:rPr>
          <w:rFonts w:asciiTheme="majorHAnsi" w:hAnsiTheme="majorHAnsi" w:cs="Arial"/>
          <w:sz w:val="24"/>
          <w:bdr w:val="single" w:sz="4" w:space="0" w:color="auto"/>
        </w:rPr>
        <w:t>X</w:t>
      </w:r>
      <w:r w:rsidRPr="005536FC">
        <w:rPr>
          <w:rFonts w:asciiTheme="majorHAnsi" w:hAnsiTheme="majorHAnsi" w:cs="Arial"/>
          <w:sz w:val="24"/>
          <w:bdr w:val="single" w:sz="4" w:space="0" w:color="auto"/>
        </w:rPr>
        <w:t xml:space="preserve">  </w:t>
      </w:r>
    </w:p>
    <w:p w:rsidR="00B56031" w:rsidRPr="005536FC" w:rsidRDefault="00B56031" w:rsidP="00B56031">
      <w:pPr>
        <w:pStyle w:val="RedTitre1"/>
        <w:keepNext/>
        <w:framePr w:wrap="auto"/>
        <w:widowControl/>
        <w:shd w:val="pct5" w:color="auto" w:fill="auto"/>
        <w:tabs>
          <w:tab w:val="left" w:pos="2835"/>
          <w:tab w:val="left" w:pos="4536"/>
        </w:tabs>
        <w:jc w:val="left"/>
        <w:rPr>
          <w:rFonts w:asciiTheme="majorHAnsi" w:hAnsiTheme="majorHAnsi" w:cs="Arial"/>
          <w:sz w:val="24"/>
        </w:rPr>
      </w:pPr>
    </w:p>
    <w:p w:rsidR="00B56031" w:rsidRPr="005536FC" w:rsidRDefault="00B56031" w:rsidP="00B56031">
      <w:pPr>
        <w:pStyle w:val="RedTitre1"/>
        <w:keepNext/>
        <w:framePr w:wrap="auto"/>
        <w:widowControl/>
        <w:shd w:val="pct5" w:color="auto" w:fill="auto"/>
        <w:jc w:val="left"/>
        <w:rPr>
          <w:rFonts w:asciiTheme="majorHAnsi" w:hAnsiTheme="majorHAnsi" w:cs="Arial"/>
          <w:sz w:val="24"/>
        </w:rPr>
      </w:pPr>
      <w:r w:rsidRPr="005536FC">
        <w:rPr>
          <w:rFonts w:asciiTheme="majorHAnsi" w:hAnsiTheme="majorHAnsi" w:cs="Arial"/>
          <w:sz w:val="24"/>
        </w:rPr>
        <w:t xml:space="preserve">Adresse - ville - Pays : </w:t>
      </w:r>
      <w:r w:rsidR="004C2DD9">
        <w:rPr>
          <w:rFonts w:asciiTheme="majorHAnsi" w:hAnsiTheme="majorHAnsi" w:cs="Arial"/>
          <w:sz w:val="24"/>
        </w:rPr>
        <w:t>3 bd Edouard Herriot 82000 MONTAUBAN</w:t>
      </w:r>
    </w:p>
    <w:p w:rsidR="00B56031" w:rsidRPr="005536FC" w:rsidRDefault="00B56031" w:rsidP="00B56031">
      <w:pPr>
        <w:pStyle w:val="RedTitre1"/>
        <w:keepNext/>
        <w:framePr w:wrap="auto"/>
        <w:widowControl/>
        <w:shd w:val="pct5" w:color="auto" w:fill="auto"/>
        <w:jc w:val="left"/>
        <w:rPr>
          <w:rFonts w:asciiTheme="majorHAnsi" w:hAnsiTheme="majorHAnsi" w:cs="Arial"/>
          <w:b w:val="0"/>
          <w:sz w:val="24"/>
        </w:rPr>
      </w:pPr>
    </w:p>
    <w:p w:rsidR="00B56031" w:rsidRPr="005536FC" w:rsidRDefault="00B56031" w:rsidP="00B56031">
      <w:pPr>
        <w:pStyle w:val="RedTitre1"/>
        <w:keepNext/>
        <w:framePr w:wrap="auto"/>
        <w:widowControl/>
        <w:shd w:val="pct5" w:color="auto" w:fill="auto"/>
        <w:tabs>
          <w:tab w:val="left" w:pos="2835"/>
          <w:tab w:val="left" w:pos="5954"/>
        </w:tabs>
        <w:ind w:left="3408" w:hanging="2835"/>
        <w:jc w:val="left"/>
        <w:rPr>
          <w:rFonts w:asciiTheme="majorHAnsi" w:hAnsiTheme="majorHAnsi" w:cs="Arial"/>
          <w:sz w:val="24"/>
        </w:rPr>
      </w:pPr>
      <w:r w:rsidRPr="005536FC">
        <w:rPr>
          <w:rFonts w:asciiTheme="majorHAnsi" w:hAnsiTheme="majorHAnsi" w:cs="Arial"/>
          <w:sz w:val="24"/>
        </w:rPr>
        <w:t xml:space="preserve">Téléphone : </w:t>
      </w:r>
      <w:r w:rsidR="004C2DD9">
        <w:rPr>
          <w:rFonts w:asciiTheme="majorHAnsi" w:hAnsiTheme="majorHAnsi" w:cs="Arial"/>
          <w:sz w:val="24"/>
        </w:rPr>
        <w:t>0567059014</w:t>
      </w:r>
      <w:r w:rsidRPr="005536FC">
        <w:rPr>
          <w:rFonts w:asciiTheme="majorHAnsi" w:hAnsiTheme="majorHAnsi" w:cs="Arial"/>
          <w:sz w:val="24"/>
        </w:rPr>
        <w:t xml:space="preserve"> Télécopie : </w:t>
      </w:r>
      <w:r w:rsidR="004C2DD9">
        <w:rPr>
          <w:rFonts w:asciiTheme="majorHAnsi" w:hAnsiTheme="majorHAnsi" w:cs="Arial"/>
          <w:sz w:val="24"/>
        </w:rPr>
        <w:t>0563926349</w:t>
      </w:r>
    </w:p>
    <w:p w:rsidR="00B56031" w:rsidRPr="005536FC" w:rsidRDefault="00B56031" w:rsidP="00B56031">
      <w:pPr>
        <w:pStyle w:val="RedTitre1"/>
        <w:keepNext/>
        <w:framePr w:wrap="auto"/>
        <w:widowControl/>
        <w:shd w:val="pct5" w:color="auto" w:fill="auto"/>
        <w:tabs>
          <w:tab w:val="left" w:pos="2835"/>
          <w:tab w:val="left" w:pos="5954"/>
        </w:tabs>
        <w:jc w:val="left"/>
        <w:rPr>
          <w:rFonts w:asciiTheme="majorHAnsi" w:hAnsiTheme="majorHAnsi" w:cs="Arial"/>
          <w:sz w:val="24"/>
        </w:rPr>
      </w:pPr>
      <w:r w:rsidRPr="005536FC">
        <w:rPr>
          <w:rFonts w:asciiTheme="majorHAnsi" w:hAnsiTheme="majorHAnsi" w:cs="Arial"/>
          <w:sz w:val="24"/>
        </w:rPr>
        <w:t xml:space="preserve">          Courriel : </w:t>
      </w:r>
      <w:r w:rsidR="004C2DD9">
        <w:rPr>
          <w:rFonts w:asciiTheme="majorHAnsi" w:hAnsiTheme="majorHAnsi" w:cs="Arial"/>
          <w:sz w:val="24"/>
        </w:rPr>
        <w:t>intendance.bourdelle@ac-toulouse</w:t>
      </w:r>
      <w:r w:rsidRPr="005536FC">
        <w:rPr>
          <w:rFonts w:asciiTheme="majorHAnsi" w:hAnsiTheme="majorHAnsi" w:cs="Arial"/>
          <w:sz w:val="24"/>
        </w:rPr>
        <w:t>.fr</w:t>
      </w:r>
    </w:p>
    <w:p w:rsidR="00B56031" w:rsidRPr="005536FC" w:rsidRDefault="00B56031" w:rsidP="00B56031">
      <w:pPr>
        <w:pStyle w:val="RedTitre1"/>
        <w:keepNext/>
        <w:framePr w:wrap="auto"/>
        <w:widowControl/>
        <w:shd w:val="pct5" w:color="auto" w:fill="auto"/>
        <w:rPr>
          <w:rFonts w:asciiTheme="majorHAnsi" w:hAnsiTheme="majorHAnsi" w:cs="Arial"/>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332FDA" w:rsidRDefault="00332FDA">
      <w:pPr>
        <w:jc w:val="center"/>
        <w:rPr>
          <w:rFonts w:ascii="Arial" w:hAnsi="Arial"/>
          <w:sz w:val="16"/>
        </w:rPr>
      </w:pPr>
      <w:r>
        <w:rPr>
          <w:rFonts w:ascii="Arial" w:hAnsi="Arial"/>
          <w:sz w:val="16"/>
        </w:rPr>
        <w:t>.</w:t>
      </w:r>
    </w:p>
    <w:p w:rsidR="009E57D7" w:rsidRDefault="009E57D7">
      <w:pPr>
        <w:overflowPunct/>
        <w:autoSpaceDE/>
        <w:autoSpaceDN/>
        <w:adjustRightInd/>
        <w:textAlignment w:val="auto"/>
        <w:rPr>
          <w:rFonts w:ascii="Arial" w:hAnsi="Arial"/>
          <w:b/>
          <w:sz w:val="24"/>
        </w:rPr>
      </w:pPr>
      <w:r>
        <w:rPr>
          <w:rFonts w:ascii="Arial" w:hAnsi="Arial"/>
          <w:b/>
          <w:sz w:val="24"/>
        </w:rPr>
        <w:br w:type="page"/>
      </w:r>
    </w:p>
    <w:p w:rsidR="009E57D7" w:rsidRDefault="009E57D7">
      <w:pPr>
        <w:jc w:val="both"/>
        <w:rPr>
          <w:rFonts w:ascii="Arial" w:hAnsi="Arial"/>
          <w:b/>
          <w:sz w:val="24"/>
        </w:rPr>
      </w:pPr>
    </w:p>
    <w:p w:rsidR="009E57D7" w:rsidRDefault="009E57D7">
      <w:pPr>
        <w:jc w:val="both"/>
        <w:rPr>
          <w:rFonts w:ascii="Arial" w:hAnsi="Arial"/>
          <w:b/>
          <w:sz w:val="24"/>
        </w:rPr>
      </w:pPr>
      <w:r>
        <w:rPr>
          <w:rFonts w:ascii="Arial" w:hAnsi="Arial"/>
          <w:b/>
          <w:sz w:val="24"/>
        </w:rPr>
        <w:t>Sommaire</w:t>
      </w:r>
    </w:p>
    <w:p w:rsidR="009E57D7" w:rsidRDefault="009E57D7">
      <w:pPr>
        <w:jc w:val="both"/>
        <w:rPr>
          <w:rFonts w:ascii="Arial" w:hAnsi="Arial"/>
          <w:b/>
          <w:sz w:val="24"/>
        </w:rPr>
      </w:pPr>
    </w:p>
    <w:sdt>
      <w:sdtPr>
        <w:rPr>
          <w:rFonts w:ascii="Times New Roman" w:eastAsia="Times New Roman" w:hAnsi="Times New Roman" w:cs="Times New Roman"/>
          <w:b w:val="0"/>
          <w:bCs w:val="0"/>
          <w:color w:val="auto"/>
          <w:sz w:val="20"/>
          <w:szCs w:val="20"/>
          <w:lang w:eastAsia="fr-FR"/>
        </w:rPr>
        <w:id w:val="95814130"/>
        <w:docPartObj>
          <w:docPartGallery w:val="Table of Contents"/>
          <w:docPartUnique/>
        </w:docPartObj>
      </w:sdtPr>
      <w:sdtContent>
        <w:p w:rsidR="00143573" w:rsidRDefault="00143573">
          <w:pPr>
            <w:pStyle w:val="En-ttedetabledesmatires"/>
          </w:pPr>
          <w:r>
            <w:t>Sommaire</w:t>
          </w:r>
        </w:p>
        <w:p w:rsidR="001E03AC" w:rsidRDefault="00B02716">
          <w:pPr>
            <w:pStyle w:val="TM3"/>
            <w:tabs>
              <w:tab w:val="right" w:leader="dot" w:pos="9912"/>
            </w:tabs>
            <w:rPr>
              <w:rFonts w:asciiTheme="minorHAnsi" w:eastAsiaTheme="minorEastAsia" w:hAnsiTheme="minorHAnsi" w:cstheme="minorBidi"/>
              <w:noProof/>
              <w:sz w:val="22"/>
              <w:szCs w:val="22"/>
            </w:rPr>
          </w:pPr>
          <w:r>
            <w:fldChar w:fldCharType="begin"/>
          </w:r>
          <w:r w:rsidR="00143573">
            <w:instrText xml:space="preserve"> TOC \o "1-3" \h \z \u </w:instrText>
          </w:r>
          <w:r>
            <w:fldChar w:fldCharType="separate"/>
          </w:r>
          <w:hyperlink w:anchor="_Toc440976884" w:history="1">
            <w:r w:rsidR="001E03AC" w:rsidRPr="006D4C2C">
              <w:rPr>
                <w:rStyle w:val="Lienhypertexte"/>
                <w:noProof/>
              </w:rPr>
              <w:t>Article 1 : Objet du marché</w:t>
            </w:r>
            <w:r w:rsidR="001E03AC">
              <w:rPr>
                <w:noProof/>
                <w:webHidden/>
              </w:rPr>
              <w:tab/>
            </w:r>
            <w:r>
              <w:rPr>
                <w:noProof/>
                <w:webHidden/>
              </w:rPr>
              <w:fldChar w:fldCharType="begin"/>
            </w:r>
            <w:r w:rsidR="001E03AC">
              <w:rPr>
                <w:noProof/>
                <w:webHidden/>
              </w:rPr>
              <w:instrText xml:space="preserve"> PAGEREF _Toc440976884 \h </w:instrText>
            </w:r>
            <w:r>
              <w:rPr>
                <w:noProof/>
                <w:webHidden/>
              </w:rPr>
            </w:r>
            <w:r>
              <w:rPr>
                <w:noProof/>
                <w:webHidden/>
              </w:rPr>
              <w:fldChar w:fldCharType="separate"/>
            </w:r>
            <w:r w:rsidR="00C11CFE">
              <w:rPr>
                <w:noProof/>
                <w:webHidden/>
              </w:rPr>
              <w:t>3</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85" w:history="1">
            <w:r w:rsidR="001E03AC" w:rsidRPr="006D4C2C">
              <w:rPr>
                <w:rStyle w:val="Lienhypertexte"/>
                <w:noProof/>
              </w:rPr>
              <w:t>Article 2 : Documents contractuels</w:t>
            </w:r>
            <w:r w:rsidR="001E03AC">
              <w:rPr>
                <w:noProof/>
                <w:webHidden/>
              </w:rPr>
              <w:tab/>
            </w:r>
            <w:r>
              <w:rPr>
                <w:noProof/>
                <w:webHidden/>
              </w:rPr>
              <w:fldChar w:fldCharType="begin"/>
            </w:r>
            <w:r w:rsidR="001E03AC">
              <w:rPr>
                <w:noProof/>
                <w:webHidden/>
              </w:rPr>
              <w:instrText xml:space="preserve"> PAGEREF _Toc440976885 \h </w:instrText>
            </w:r>
            <w:r>
              <w:rPr>
                <w:noProof/>
                <w:webHidden/>
              </w:rPr>
            </w:r>
            <w:r>
              <w:rPr>
                <w:noProof/>
                <w:webHidden/>
              </w:rPr>
              <w:fldChar w:fldCharType="separate"/>
            </w:r>
            <w:r w:rsidR="00C11CFE">
              <w:rPr>
                <w:noProof/>
                <w:webHidden/>
              </w:rPr>
              <w:t>3</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86" w:history="1">
            <w:r w:rsidR="001E03AC" w:rsidRPr="006D4C2C">
              <w:rPr>
                <w:rStyle w:val="Lienhypertexte"/>
                <w:noProof/>
              </w:rPr>
              <w:t>Article3 : Modalités d’exécution</w:t>
            </w:r>
            <w:r w:rsidR="001E03AC">
              <w:rPr>
                <w:noProof/>
                <w:webHidden/>
              </w:rPr>
              <w:tab/>
            </w:r>
            <w:r>
              <w:rPr>
                <w:noProof/>
                <w:webHidden/>
              </w:rPr>
              <w:fldChar w:fldCharType="begin"/>
            </w:r>
            <w:r w:rsidR="001E03AC">
              <w:rPr>
                <w:noProof/>
                <w:webHidden/>
              </w:rPr>
              <w:instrText xml:space="preserve"> PAGEREF _Toc440976886 \h </w:instrText>
            </w:r>
            <w:r>
              <w:rPr>
                <w:noProof/>
                <w:webHidden/>
              </w:rPr>
            </w:r>
            <w:r>
              <w:rPr>
                <w:noProof/>
                <w:webHidden/>
              </w:rPr>
              <w:fldChar w:fldCharType="separate"/>
            </w:r>
            <w:r w:rsidR="00C11CFE">
              <w:rPr>
                <w:noProof/>
                <w:webHidden/>
              </w:rPr>
              <w:t>3</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87" w:history="1">
            <w:r w:rsidR="001E03AC" w:rsidRPr="006D4C2C">
              <w:rPr>
                <w:rStyle w:val="Lienhypertexte"/>
                <w:noProof/>
              </w:rPr>
              <w:t>Article 4: Sous-traitance</w:t>
            </w:r>
            <w:r w:rsidR="001E03AC">
              <w:rPr>
                <w:noProof/>
                <w:webHidden/>
              </w:rPr>
              <w:tab/>
            </w:r>
            <w:r>
              <w:rPr>
                <w:noProof/>
                <w:webHidden/>
              </w:rPr>
              <w:fldChar w:fldCharType="begin"/>
            </w:r>
            <w:r w:rsidR="001E03AC">
              <w:rPr>
                <w:noProof/>
                <w:webHidden/>
              </w:rPr>
              <w:instrText xml:space="preserve"> PAGEREF _Toc440976887 \h </w:instrText>
            </w:r>
            <w:r>
              <w:rPr>
                <w:noProof/>
                <w:webHidden/>
              </w:rPr>
            </w:r>
            <w:r>
              <w:rPr>
                <w:noProof/>
                <w:webHidden/>
              </w:rPr>
              <w:fldChar w:fldCharType="separate"/>
            </w:r>
            <w:r w:rsidR="00C11CFE">
              <w:rPr>
                <w:noProof/>
                <w:webHidden/>
              </w:rPr>
              <w:t>4</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88" w:history="1">
            <w:r w:rsidR="001E03AC" w:rsidRPr="006D4C2C">
              <w:rPr>
                <w:rStyle w:val="Lienhypertexte"/>
                <w:noProof/>
              </w:rPr>
              <w:t>Article 5: Conditions de livraison</w:t>
            </w:r>
            <w:r w:rsidR="001E03AC">
              <w:rPr>
                <w:noProof/>
                <w:webHidden/>
              </w:rPr>
              <w:tab/>
            </w:r>
            <w:r>
              <w:rPr>
                <w:noProof/>
                <w:webHidden/>
              </w:rPr>
              <w:fldChar w:fldCharType="begin"/>
            </w:r>
            <w:r w:rsidR="001E03AC">
              <w:rPr>
                <w:noProof/>
                <w:webHidden/>
              </w:rPr>
              <w:instrText xml:space="preserve"> PAGEREF _Toc440976888 \h </w:instrText>
            </w:r>
            <w:r>
              <w:rPr>
                <w:noProof/>
                <w:webHidden/>
              </w:rPr>
            </w:r>
            <w:r>
              <w:rPr>
                <w:noProof/>
                <w:webHidden/>
              </w:rPr>
              <w:fldChar w:fldCharType="separate"/>
            </w:r>
            <w:r w:rsidR="00C11CFE">
              <w:rPr>
                <w:noProof/>
                <w:webHidden/>
              </w:rPr>
              <w:t>4</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89" w:history="1">
            <w:r w:rsidR="001E03AC" w:rsidRPr="006D4C2C">
              <w:rPr>
                <w:rStyle w:val="Lienhypertexte"/>
                <w:noProof/>
              </w:rPr>
              <w:t>Article 6 : Opération de réception</w:t>
            </w:r>
            <w:r w:rsidR="001E03AC">
              <w:rPr>
                <w:noProof/>
                <w:webHidden/>
              </w:rPr>
              <w:tab/>
            </w:r>
            <w:r>
              <w:rPr>
                <w:noProof/>
                <w:webHidden/>
              </w:rPr>
              <w:fldChar w:fldCharType="begin"/>
            </w:r>
            <w:r w:rsidR="001E03AC">
              <w:rPr>
                <w:noProof/>
                <w:webHidden/>
              </w:rPr>
              <w:instrText xml:space="preserve"> PAGEREF _Toc440976889 \h </w:instrText>
            </w:r>
            <w:r>
              <w:rPr>
                <w:noProof/>
                <w:webHidden/>
              </w:rPr>
            </w:r>
            <w:r>
              <w:rPr>
                <w:noProof/>
                <w:webHidden/>
              </w:rPr>
              <w:fldChar w:fldCharType="separate"/>
            </w:r>
            <w:r w:rsidR="00C11CFE">
              <w:rPr>
                <w:noProof/>
                <w:webHidden/>
              </w:rPr>
              <w:t>4</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90" w:history="1">
            <w:r w:rsidR="001E03AC" w:rsidRPr="006D4C2C">
              <w:rPr>
                <w:rStyle w:val="Lienhypertexte"/>
                <w:noProof/>
              </w:rPr>
              <w:t>Article 7 : Modalités d’établissement des prix</w:t>
            </w:r>
            <w:r w:rsidR="001E03AC">
              <w:rPr>
                <w:noProof/>
                <w:webHidden/>
              </w:rPr>
              <w:tab/>
            </w:r>
            <w:r>
              <w:rPr>
                <w:noProof/>
                <w:webHidden/>
              </w:rPr>
              <w:fldChar w:fldCharType="begin"/>
            </w:r>
            <w:r w:rsidR="001E03AC">
              <w:rPr>
                <w:noProof/>
                <w:webHidden/>
              </w:rPr>
              <w:instrText xml:space="preserve"> PAGEREF _Toc440976890 \h </w:instrText>
            </w:r>
            <w:r>
              <w:rPr>
                <w:noProof/>
                <w:webHidden/>
              </w:rPr>
            </w:r>
            <w:r>
              <w:rPr>
                <w:noProof/>
                <w:webHidden/>
              </w:rPr>
              <w:fldChar w:fldCharType="separate"/>
            </w:r>
            <w:r w:rsidR="00C11CFE">
              <w:rPr>
                <w:noProof/>
                <w:webHidden/>
              </w:rPr>
              <w:t>5</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91" w:history="1">
            <w:r w:rsidR="001E03AC" w:rsidRPr="006D4C2C">
              <w:rPr>
                <w:rStyle w:val="Lienhypertexte"/>
                <w:noProof/>
              </w:rPr>
              <w:t>Article 8 Garantie</w:t>
            </w:r>
            <w:r w:rsidR="001E03AC">
              <w:rPr>
                <w:noProof/>
                <w:webHidden/>
              </w:rPr>
              <w:tab/>
            </w:r>
            <w:r>
              <w:rPr>
                <w:noProof/>
                <w:webHidden/>
              </w:rPr>
              <w:fldChar w:fldCharType="begin"/>
            </w:r>
            <w:r w:rsidR="001E03AC">
              <w:rPr>
                <w:noProof/>
                <w:webHidden/>
              </w:rPr>
              <w:instrText xml:space="preserve"> PAGEREF _Toc440976891 \h </w:instrText>
            </w:r>
            <w:r>
              <w:rPr>
                <w:noProof/>
                <w:webHidden/>
              </w:rPr>
            </w:r>
            <w:r>
              <w:rPr>
                <w:noProof/>
                <w:webHidden/>
              </w:rPr>
              <w:fldChar w:fldCharType="separate"/>
            </w:r>
            <w:r w:rsidR="00C11CFE">
              <w:rPr>
                <w:noProof/>
                <w:webHidden/>
              </w:rPr>
              <w:t>6</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92" w:history="1">
            <w:r w:rsidR="001E03AC" w:rsidRPr="006D4C2C">
              <w:rPr>
                <w:rStyle w:val="Lienhypertexte"/>
                <w:noProof/>
              </w:rPr>
              <w:t>Article 9 Cautionnement</w:t>
            </w:r>
            <w:r w:rsidR="001E03AC">
              <w:rPr>
                <w:noProof/>
                <w:webHidden/>
              </w:rPr>
              <w:tab/>
            </w:r>
            <w:r>
              <w:rPr>
                <w:noProof/>
                <w:webHidden/>
              </w:rPr>
              <w:fldChar w:fldCharType="begin"/>
            </w:r>
            <w:r w:rsidR="001E03AC">
              <w:rPr>
                <w:noProof/>
                <w:webHidden/>
              </w:rPr>
              <w:instrText xml:space="preserve"> PAGEREF _Toc440976892 \h </w:instrText>
            </w:r>
            <w:r>
              <w:rPr>
                <w:noProof/>
                <w:webHidden/>
              </w:rPr>
            </w:r>
            <w:r>
              <w:rPr>
                <w:noProof/>
                <w:webHidden/>
              </w:rPr>
              <w:fldChar w:fldCharType="separate"/>
            </w:r>
            <w:r w:rsidR="00C11CFE">
              <w:rPr>
                <w:noProof/>
                <w:webHidden/>
              </w:rPr>
              <w:t>6</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93" w:history="1">
            <w:r w:rsidR="001E03AC" w:rsidRPr="006D4C2C">
              <w:rPr>
                <w:rStyle w:val="Lienhypertexte"/>
                <w:noProof/>
              </w:rPr>
              <w:t>Article 10 Avance forfaitaire</w:t>
            </w:r>
            <w:r w:rsidR="001E03AC">
              <w:rPr>
                <w:noProof/>
                <w:webHidden/>
              </w:rPr>
              <w:tab/>
            </w:r>
            <w:r>
              <w:rPr>
                <w:noProof/>
                <w:webHidden/>
              </w:rPr>
              <w:fldChar w:fldCharType="begin"/>
            </w:r>
            <w:r w:rsidR="001E03AC">
              <w:rPr>
                <w:noProof/>
                <w:webHidden/>
              </w:rPr>
              <w:instrText xml:space="preserve"> PAGEREF _Toc440976893 \h </w:instrText>
            </w:r>
            <w:r>
              <w:rPr>
                <w:noProof/>
                <w:webHidden/>
              </w:rPr>
            </w:r>
            <w:r>
              <w:rPr>
                <w:noProof/>
                <w:webHidden/>
              </w:rPr>
              <w:fldChar w:fldCharType="separate"/>
            </w:r>
            <w:r w:rsidR="00C11CFE">
              <w:rPr>
                <w:noProof/>
                <w:webHidden/>
              </w:rPr>
              <w:t>6</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94" w:history="1">
            <w:r w:rsidR="001E03AC" w:rsidRPr="006D4C2C">
              <w:rPr>
                <w:rStyle w:val="Lienhypertexte"/>
                <w:noProof/>
              </w:rPr>
              <w:t>Article 11 : Acomptes et paiements partiels</w:t>
            </w:r>
            <w:r w:rsidR="001E03AC">
              <w:rPr>
                <w:noProof/>
                <w:webHidden/>
              </w:rPr>
              <w:tab/>
            </w:r>
            <w:r>
              <w:rPr>
                <w:noProof/>
                <w:webHidden/>
              </w:rPr>
              <w:fldChar w:fldCharType="begin"/>
            </w:r>
            <w:r w:rsidR="001E03AC">
              <w:rPr>
                <w:noProof/>
                <w:webHidden/>
              </w:rPr>
              <w:instrText xml:space="preserve"> PAGEREF _Toc440976894 \h </w:instrText>
            </w:r>
            <w:r>
              <w:rPr>
                <w:noProof/>
                <w:webHidden/>
              </w:rPr>
            </w:r>
            <w:r>
              <w:rPr>
                <w:noProof/>
                <w:webHidden/>
              </w:rPr>
              <w:fldChar w:fldCharType="separate"/>
            </w:r>
            <w:r w:rsidR="00C11CFE">
              <w:rPr>
                <w:noProof/>
                <w:webHidden/>
              </w:rPr>
              <w:t>6</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95" w:history="1">
            <w:r w:rsidR="001E03AC" w:rsidRPr="006D4C2C">
              <w:rPr>
                <w:rStyle w:val="Lienhypertexte"/>
                <w:noProof/>
              </w:rPr>
              <w:t>Article 12 Paiement et établissement de la facture</w:t>
            </w:r>
            <w:r w:rsidR="001E03AC">
              <w:rPr>
                <w:noProof/>
                <w:webHidden/>
              </w:rPr>
              <w:tab/>
            </w:r>
            <w:r>
              <w:rPr>
                <w:noProof/>
                <w:webHidden/>
              </w:rPr>
              <w:fldChar w:fldCharType="begin"/>
            </w:r>
            <w:r w:rsidR="001E03AC">
              <w:rPr>
                <w:noProof/>
                <w:webHidden/>
              </w:rPr>
              <w:instrText xml:space="preserve"> PAGEREF _Toc440976895 \h </w:instrText>
            </w:r>
            <w:r>
              <w:rPr>
                <w:noProof/>
                <w:webHidden/>
              </w:rPr>
            </w:r>
            <w:r>
              <w:rPr>
                <w:noProof/>
                <w:webHidden/>
              </w:rPr>
              <w:fldChar w:fldCharType="separate"/>
            </w:r>
            <w:r w:rsidR="00C11CFE">
              <w:rPr>
                <w:noProof/>
                <w:webHidden/>
              </w:rPr>
              <w:t>6</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96" w:history="1">
            <w:r w:rsidR="001E03AC" w:rsidRPr="006D4C2C">
              <w:rPr>
                <w:rStyle w:val="Lienhypertexte"/>
                <w:noProof/>
              </w:rPr>
              <w:t>Article 13 Pénalités de retard</w:t>
            </w:r>
            <w:r w:rsidR="001E03AC">
              <w:rPr>
                <w:noProof/>
                <w:webHidden/>
              </w:rPr>
              <w:tab/>
            </w:r>
            <w:r>
              <w:rPr>
                <w:noProof/>
                <w:webHidden/>
              </w:rPr>
              <w:fldChar w:fldCharType="begin"/>
            </w:r>
            <w:r w:rsidR="001E03AC">
              <w:rPr>
                <w:noProof/>
                <w:webHidden/>
              </w:rPr>
              <w:instrText xml:space="preserve"> PAGEREF _Toc440976896 \h </w:instrText>
            </w:r>
            <w:r>
              <w:rPr>
                <w:noProof/>
                <w:webHidden/>
              </w:rPr>
            </w:r>
            <w:r>
              <w:rPr>
                <w:noProof/>
                <w:webHidden/>
              </w:rPr>
              <w:fldChar w:fldCharType="separate"/>
            </w:r>
            <w:r w:rsidR="00C11CFE">
              <w:rPr>
                <w:noProof/>
                <w:webHidden/>
              </w:rPr>
              <w:t>6</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97" w:history="1">
            <w:r w:rsidR="001E03AC" w:rsidRPr="006D4C2C">
              <w:rPr>
                <w:rStyle w:val="Lienhypertexte"/>
                <w:noProof/>
              </w:rPr>
              <w:t>Article 14 Résiliation du marché</w:t>
            </w:r>
            <w:r w:rsidR="001E03AC">
              <w:rPr>
                <w:noProof/>
                <w:webHidden/>
              </w:rPr>
              <w:tab/>
            </w:r>
          </w:hyperlink>
          <w:r w:rsidR="00E71E58">
            <w:t>7</w:t>
          </w:r>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98" w:history="1">
            <w:r w:rsidR="001E03AC" w:rsidRPr="006D4C2C">
              <w:rPr>
                <w:rStyle w:val="Lienhypertexte"/>
                <w:noProof/>
              </w:rPr>
              <w:t>Article 15 Droit de visite</w:t>
            </w:r>
            <w:r w:rsidR="001E03AC">
              <w:rPr>
                <w:noProof/>
                <w:webHidden/>
              </w:rPr>
              <w:tab/>
            </w:r>
            <w:r>
              <w:rPr>
                <w:noProof/>
                <w:webHidden/>
              </w:rPr>
              <w:fldChar w:fldCharType="begin"/>
            </w:r>
            <w:r w:rsidR="001E03AC">
              <w:rPr>
                <w:noProof/>
                <w:webHidden/>
              </w:rPr>
              <w:instrText xml:space="preserve"> PAGEREF _Toc440976898 \h </w:instrText>
            </w:r>
            <w:r>
              <w:rPr>
                <w:noProof/>
                <w:webHidden/>
              </w:rPr>
            </w:r>
            <w:r>
              <w:rPr>
                <w:noProof/>
                <w:webHidden/>
              </w:rPr>
              <w:fldChar w:fldCharType="separate"/>
            </w:r>
            <w:r w:rsidR="00C11CFE">
              <w:rPr>
                <w:noProof/>
                <w:webHidden/>
              </w:rPr>
              <w:t>7</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899" w:history="1">
            <w:r w:rsidR="001E03AC" w:rsidRPr="006D4C2C">
              <w:rPr>
                <w:rStyle w:val="Lienhypertexte"/>
                <w:noProof/>
              </w:rPr>
              <w:t>Article 16 Dérogations aux documents généraux</w:t>
            </w:r>
            <w:r w:rsidR="001E03AC">
              <w:rPr>
                <w:noProof/>
                <w:webHidden/>
              </w:rPr>
              <w:tab/>
            </w:r>
            <w:r>
              <w:rPr>
                <w:noProof/>
                <w:webHidden/>
              </w:rPr>
              <w:fldChar w:fldCharType="begin"/>
            </w:r>
            <w:r w:rsidR="001E03AC">
              <w:rPr>
                <w:noProof/>
                <w:webHidden/>
              </w:rPr>
              <w:instrText xml:space="preserve"> PAGEREF _Toc440976899 \h </w:instrText>
            </w:r>
            <w:r>
              <w:rPr>
                <w:noProof/>
                <w:webHidden/>
              </w:rPr>
            </w:r>
            <w:r>
              <w:rPr>
                <w:noProof/>
                <w:webHidden/>
              </w:rPr>
              <w:fldChar w:fldCharType="separate"/>
            </w:r>
            <w:r w:rsidR="00C11CFE">
              <w:rPr>
                <w:noProof/>
                <w:webHidden/>
              </w:rPr>
              <w:t>7</w:t>
            </w:r>
            <w:r>
              <w:rPr>
                <w:noProof/>
                <w:webHidden/>
              </w:rPr>
              <w:fldChar w:fldCharType="end"/>
            </w:r>
          </w:hyperlink>
        </w:p>
        <w:p w:rsidR="001E03AC" w:rsidRDefault="00B02716">
          <w:pPr>
            <w:pStyle w:val="TM3"/>
            <w:tabs>
              <w:tab w:val="right" w:leader="dot" w:pos="9912"/>
            </w:tabs>
            <w:rPr>
              <w:rFonts w:asciiTheme="minorHAnsi" w:eastAsiaTheme="minorEastAsia" w:hAnsiTheme="minorHAnsi" w:cstheme="minorBidi"/>
              <w:noProof/>
              <w:sz w:val="22"/>
              <w:szCs w:val="22"/>
            </w:rPr>
          </w:pPr>
          <w:hyperlink w:anchor="_Toc440976900" w:history="1">
            <w:r w:rsidR="001E03AC" w:rsidRPr="006D4C2C">
              <w:rPr>
                <w:rStyle w:val="Lienhypertexte"/>
                <w:noProof/>
              </w:rPr>
              <w:t>Article 17 Dispositions particulières</w:t>
            </w:r>
            <w:r w:rsidR="001E03AC">
              <w:rPr>
                <w:noProof/>
                <w:webHidden/>
              </w:rPr>
              <w:tab/>
            </w:r>
            <w:r>
              <w:rPr>
                <w:noProof/>
                <w:webHidden/>
              </w:rPr>
              <w:fldChar w:fldCharType="begin"/>
            </w:r>
            <w:r w:rsidR="001E03AC">
              <w:rPr>
                <w:noProof/>
                <w:webHidden/>
              </w:rPr>
              <w:instrText xml:space="preserve"> PAGEREF _Toc440976900 \h </w:instrText>
            </w:r>
            <w:r>
              <w:rPr>
                <w:noProof/>
                <w:webHidden/>
              </w:rPr>
            </w:r>
            <w:r>
              <w:rPr>
                <w:noProof/>
                <w:webHidden/>
              </w:rPr>
              <w:fldChar w:fldCharType="separate"/>
            </w:r>
            <w:r w:rsidR="00C11CFE">
              <w:rPr>
                <w:noProof/>
                <w:webHidden/>
              </w:rPr>
              <w:t>7</w:t>
            </w:r>
            <w:r>
              <w:rPr>
                <w:noProof/>
                <w:webHidden/>
              </w:rPr>
              <w:fldChar w:fldCharType="end"/>
            </w:r>
          </w:hyperlink>
        </w:p>
        <w:p w:rsidR="00143573" w:rsidRDefault="00B02716">
          <w:r>
            <w:fldChar w:fldCharType="end"/>
          </w:r>
        </w:p>
      </w:sdtContent>
    </w:sdt>
    <w:p w:rsidR="009E57D7" w:rsidRDefault="009E57D7">
      <w:pPr>
        <w:jc w:val="both"/>
        <w:rPr>
          <w:rFonts w:ascii="Arial" w:hAnsi="Arial"/>
          <w:b/>
          <w:sz w:val="24"/>
        </w:rPr>
      </w:pPr>
    </w:p>
    <w:p w:rsidR="00143573" w:rsidRDefault="00143573">
      <w:pPr>
        <w:overflowPunct/>
        <w:autoSpaceDE/>
        <w:autoSpaceDN/>
        <w:adjustRightInd/>
        <w:textAlignment w:val="auto"/>
        <w:rPr>
          <w:rFonts w:ascii="Arial" w:hAnsi="Arial"/>
          <w:b/>
          <w:sz w:val="24"/>
        </w:rPr>
      </w:pPr>
      <w:r>
        <w:rPr>
          <w:rFonts w:ascii="Arial" w:hAnsi="Arial"/>
          <w:b/>
          <w:sz w:val="24"/>
        </w:rPr>
        <w:br w:type="page"/>
      </w:r>
    </w:p>
    <w:p w:rsidR="00332FDA" w:rsidRPr="00480B66" w:rsidRDefault="00D93C24" w:rsidP="00C0532A">
      <w:pPr>
        <w:pStyle w:val="Titre3"/>
      </w:pPr>
      <w:bookmarkStart w:id="0" w:name="_Toc440976884"/>
      <w:r>
        <w:rPr>
          <w:u w:val="single"/>
        </w:rPr>
        <w:lastRenderedPageBreak/>
        <w:t>Article 1</w:t>
      </w:r>
      <w:r w:rsidR="00332FDA" w:rsidRPr="00480B66">
        <w:t xml:space="preserve"> : </w:t>
      </w:r>
      <w:r>
        <w:t>Objet du marché</w:t>
      </w:r>
      <w:bookmarkEnd w:id="0"/>
    </w:p>
    <w:p w:rsidR="00332FDA" w:rsidRDefault="00332FDA">
      <w:pPr>
        <w:jc w:val="both"/>
        <w:rPr>
          <w:rFonts w:ascii="Arial" w:hAnsi="Arial"/>
        </w:rPr>
      </w:pPr>
    </w:p>
    <w:p w:rsidR="008F7F64" w:rsidRPr="008F7F64" w:rsidRDefault="008F7F64">
      <w:pPr>
        <w:jc w:val="both"/>
        <w:rPr>
          <w:rFonts w:ascii="Arial" w:hAnsi="Arial"/>
          <w:b/>
        </w:rPr>
      </w:pPr>
      <w:r w:rsidRPr="008F7F64">
        <w:rPr>
          <w:rFonts w:ascii="Arial" w:hAnsi="Arial"/>
          <w:b/>
        </w:rPr>
        <w:t>Lot n° 1</w:t>
      </w:r>
    </w:p>
    <w:p w:rsidR="00332FDA" w:rsidRPr="000A3EA1" w:rsidRDefault="00C67F1C">
      <w:pPr>
        <w:jc w:val="both"/>
      </w:pPr>
      <w:r>
        <w:t>C</w:t>
      </w:r>
      <w:r w:rsidR="00332FDA" w:rsidRPr="000A3EA1">
        <w:t>e marché est à bons de commandes</w:t>
      </w:r>
      <w:r>
        <w:t xml:space="preserve"> </w:t>
      </w:r>
      <w:r w:rsidR="00332FDA" w:rsidRPr="000A3EA1">
        <w:t>passé pour une période</w:t>
      </w:r>
      <w:r w:rsidR="00E439FF" w:rsidRPr="000A3EA1">
        <w:t xml:space="preserve"> d</w:t>
      </w:r>
      <w:r>
        <w:t xml:space="preserve">e douze mois </w:t>
      </w:r>
      <w:r w:rsidR="00E439FF" w:rsidRPr="000A3EA1">
        <w:t xml:space="preserve"> à compter du 01.</w:t>
      </w:r>
      <w:r w:rsidR="008653EA">
        <w:t>03.2018</w:t>
      </w:r>
      <w:r w:rsidR="00E439FF" w:rsidRPr="000A3EA1">
        <w:t>.</w:t>
      </w:r>
      <w:r w:rsidR="00A13F83" w:rsidRPr="00A13F83">
        <w:t xml:space="preserve"> </w:t>
      </w:r>
      <w:r w:rsidR="00A13F83">
        <w:t xml:space="preserve">Il peut être reconduit tacitement pour un (1) an, sans que la durée maximale du contrat, toutes périodes confondues, ne puisse excéder 3 ans. </w:t>
      </w:r>
      <w:r w:rsidR="00332FDA" w:rsidRPr="000A3EA1">
        <w:t xml:space="preserve">Il peut être dénoncé chaque année par </w:t>
      </w:r>
      <w:r w:rsidR="00E002D5">
        <w:t>l’une des parties</w:t>
      </w:r>
      <w:r w:rsidR="00332FDA" w:rsidRPr="000A3EA1">
        <w:t xml:space="preserve"> qui en informe l’</w:t>
      </w:r>
      <w:r>
        <w:t>autre</w:t>
      </w:r>
      <w:r w:rsidR="00332FDA" w:rsidRPr="000A3EA1">
        <w:t xml:space="preserve"> sous peine de nullité, par lettre recommandée avec avis de réception, trois mois au moins avant la fin de la période de douze mois en cours.</w:t>
      </w:r>
    </w:p>
    <w:p w:rsidR="009B6846" w:rsidRPr="000A3EA1" w:rsidRDefault="009B6846">
      <w:pPr>
        <w:jc w:val="both"/>
      </w:pPr>
    </w:p>
    <w:p w:rsidR="00332FDA" w:rsidRPr="000A3EA1" w:rsidRDefault="00332FDA">
      <w:pPr>
        <w:jc w:val="both"/>
      </w:pPr>
      <w:r w:rsidRPr="000A3EA1">
        <w:t xml:space="preserve">Il porte sur la fourniture de papier </w:t>
      </w:r>
      <w:r w:rsidR="00A13F83">
        <w:t>xér</w:t>
      </w:r>
      <w:r w:rsidR="00A13F83" w:rsidRPr="000A3EA1">
        <w:t>ographique</w:t>
      </w:r>
      <w:r w:rsidRPr="000A3EA1">
        <w:t xml:space="preserve"> au lycée </w:t>
      </w:r>
      <w:r w:rsidR="008653EA">
        <w:t>Antoine Bourdelle de MONTAUBAN</w:t>
      </w:r>
      <w:r w:rsidRPr="000A3EA1">
        <w:t xml:space="preserve"> </w:t>
      </w:r>
      <w:r w:rsidR="00C67F1C">
        <w:t xml:space="preserve">ce papier </w:t>
      </w:r>
      <w:r w:rsidRPr="000A3EA1">
        <w:t xml:space="preserve">doit être conforme aux spécifications techniques décrites à l’article </w:t>
      </w:r>
      <w:r w:rsidR="0083794F">
        <w:t>6</w:t>
      </w:r>
      <w:r w:rsidRPr="000A3EA1">
        <w:t>.</w:t>
      </w:r>
    </w:p>
    <w:p w:rsidR="009B6846" w:rsidRPr="000A3EA1" w:rsidRDefault="009B6846">
      <w:pPr>
        <w:jc w:val="both"/>
      </w:pPr>
    </w:p>
    <w:p w:rsidR="00332FDA" w:rsidRPr="000A3EA1" w:rsidRDefault="00332FDA">
      <w:pPr>
        <w:jc w:val="both"/>
      </w:pPr>
      <w:r w:rsidRPr="000A3EA1">
        <w:t>L</w:t>
      </w:r>
      <w:r w:rsidR="00C67F1C">
        <w:t xml:space="preserve">’estimation </w:t>
      </w:r>
      <w:r w:rsidRPr="000A3EA1">
        <w:t xml:space="preserve"> des commandes </w:t>
      </w:r>
      <w:r w:rsidR="00C67F1C">
        <w:t>sur une période</w:t>
      </w:r>
      <w:r w:rsidR="00C67F1C" w:rsidRPr="000A3EA1">
        <w:t xml:space="preserve"> de trois ans </w:t>
      </w:r>
      <w:r w:rsidRPr="000A3EA1">
        <w:t>est indiqué</w:t>
      </w:r>
      <w:r w:rsidR="00C67F1C">
        <w:t>e</w:t>
      </w:r>
      <w:r w:rsidRPr="000A3EA1">
        <w:t xml:space="preserve"> ci dessous, l’unité de décompte est la ramette de 500 feuilles :</w:t>
      </w:r>
    </w:p>
    <w:p w:rsidR="00332FDA" w:rsidRPr="000A3EA1" w:rsidRDefault="00332FDA">
      <w:pPr>
        <w:jc w:val="both"/>
      </w:pPr>
    </w:p>
    <w:tbl>
      <w:tblPr>
        <w:tblW w:w="8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28"/>
        <w:gridCol w:w="2728"/>
        <w:gridCol w:w="2728"/>
      </w:tblGrid>
      <w:tr w:rsidR="00420A77" w:rsidRPr="000A3EA1" w:rsidTr="00420A77">
        <w:trPr>
          <w:trHeight w:val="221"/>
        </w:trPr>
        <w:tc>
          <w:tcPr>
            <w:tcW w:w="2728" w:type="dxa"/>
          </w:tcPr>
          <w:p w:rsidR="00420A77" w:rsidRPr="000A3EA1" w:rsidRDefault="00420A77">
            <w:pPr>
              <w:jc w:val="both"/>
            </w:pPr>
            <w:r w:rsidRPr="000A3EA1">
              <w:t>A4 blanc</w:t>
            </w:r>
          </w:p>
        </w:tc>
        <w:tc>
          <w:tcPr>
            <w:tcW w:w="2728" w:type="dxa"/>
          </w:tcPr>
          <w:p w:rsidR="00420A77" w:rsidRPr="000A3EA1" w:rsidRDefault="00420A77">
            <w:pPr>
              <w:jc w:val="both"/>
            </w:pPr>
            <w:r w:rsidRPr="000A3EA1">
              <w:t>A4 couleur</w:t>
            </w:r>
          </w:p>
        </w:tc>
        <w:tc>
          <w:tcPr>
            <w:tcW w:w="2728" w:type="dxa"/>
          </w:tcPr>
          <w:p w:rsidR="00420A77" w:rsidRPr="000A3EA1" w:rsidRDefault="00420A77">
            <w:pPr>
              <w:jc w:val="both"/>
            </w:pPr>
            <w:r w:rsidRPr="000A3EA1">
              <w:t>A3 blanc</w:t>
            </w:r>
          </w:p>
        </w:tc>
      </w:tr>
      <w:tr w:rsidR="00420A77" w:rsidRPr="000A3EA1" w:rsidTr="00420A77">
        <w:trPr>
          <w:trHeight w:val="252"/>
        </w:trPr>
        <w:tc>
          <w:tcPr>
            <w:tcW w:w="2728" w:type="dxa"/>
          </w:tcPr>
          <w:p w:rsidR="00420A77" w:rsidRPr="000A3EA1" w:rsidRDefault="00420A77" w:rsidP="00637156">
            <w:pPr>
              <w:jc w:val="both"/>
            </w:pPr>
            <w:r>
              <w:t>12 300</w:t>
            </w:r>
          </w:p>
        </w:tc>
        <w:tc>
          <w:tcPr>
            <w:tcW w:w="2728" w:type="dxa"/>
          </w:tcPr>
          <w:p w:rsidR="00420A77" w:rsidRPr="000A3EA1" w:rsidRDefault="00A13F83">
            <w:pPr>
              <w:jc w:val="both"/>
            </w:pPr>
            <w:r>
              <w:t>120</w:t>
            </w:r>
          </w:p>
        </w:tc>
        <w:tc>
          <w:tcPr>
            <w:tcW w:w="2728" w:type="dxa"/>
          </w:tcPr>
          <w:p w:rsidR="00420A77" w:rsidRPr="000A3EA1" w:rsidRDefault="00A13F83">
            <w:pPr>
              <w:jc w:val="both"/>
            </w:pPr>
            <w:r>
              <w:t>1 530</w:t>
            </w:r>
          </w:p>
        </w:tc>
      </w:tr>
    </w:tbl>
    <w:p w:rsidR="00332FDA" w:rsidRPr="000A3EA1" w:rsidRDefault="00332FDA">
      <w:pPr>
        <w:jc w:val="both"/>
      </w:pPr>
    </w:p>
    <w:p w:rsidR="00332FDA" w:rsidRPr="000A3EA1" w:rsidRDefault="00332FDA">
      <w:pPr>
        <w:jc w:val="both"/>
      </w:pPr>
      <w:r w:rsidRPr="000A3EA1">
        <w:t xml:space="preserve">Les prestations faisant l’objet de ce marché sont </w:t>
      </w:r>
      <w:r w:rsidR="00464927" w:rsidRPr="000A3EA1">
        <w:t>fixé</w:t>
      </w:r>
      <w:r w:rsidR="00E439FF" w:rsidRPr="000A3EA1">
        <w:t>e</w:t>
      </w:r>
      <w:r w:rsidR="00464927" w:rsidRPr="000A3EA1">
        <w:t>s au minimum dans le tableau ci-dessus. Il n’y a pas de quantité maximale</w:t>
      </w:r>
      <w:r w:rsidR="008C24C9" w:rsidRPr="000A3EA1">
        <w:t xml:space="preserve"> fixée.</w:t>
      </w:r>
    </w:p>
    <w:p w:rsidR="00637156" w:rsidRDefault="00637156">
      <w:pPr>
        <w:jc w:val="both"/>
      </w:pPr>
    </w:p>
    <w:p w:rsidR="008F7F64" w:rsidRPr="008F7F64" w:rsidRDefault="008F7F64">
      <w:pPr>
        <w:jc w:val="both"/>
        <w:rPr>
          <w:b/>
        </w:rPr>
      </w:pPr>
      <w:r w:rsidRPr="008F7F64">
        <w:rPr>
          <w:b/>
        </w:rPr>
        <w:t>Lot n° 2</w:t>
      </w:r>
    </w:p>
    <w:p w:rsidR="008F7F64" w:rsidRPr="000A3EA1" w:rsidRDefault="008F7F64" w:rsidP="008F7F64">
      <w:pPr>
        <w:jc w:val="both"/>
      </w:pPr>
      <w:r>
        <w:t>Accord</w:t>
      </w:r>
      <w:r w:rsidR="00A13F83">
        <w:t xml:space="preserve"> cadre pluri attributaire avec 4</w:t>
      </w:r>
      <w:r>
        <w:t xml:space="preserve"> fournisseurs au maximum. Les entreprises retenues seront donc mises en concurrence via des marchés subséquents.</w:t>
      </w:r>
      <w:r w:rsidRPr="008F7F64">
        <w:t xml:space="preserve"> </w:t>
      </w:r>
      <w:r w:rsidRPr="000A3EA1">
        <w:t xml:space="preserve">Il porte sur la fourniture de papier xérographique au </w:t>
      </w:r>
      <w:r w:rsidR="00A13F83">
        <w:t>Gre</w:t>
      </w:r>
      <w:r>
        <w:t xml:space="preserve">ta Midi Pyrénées Ouest ce papier </w:t>
      </w:r>
      <w:r w:rsidRPr="000A3EA1">
        <w:t xml:space="preserve">doit être conforme aux spécifications techniques décrites à l’article </w:t>
      </w:r>
      <w:r>
        <w:t>6</w:t>
      </w:r>
      <w:r w:rsidRPr="000A3EA1">
        <w:t>.</w:t>
      </w:r>
    </w:p>
    <w:p w:rsidR="008F7F64" w:rsidRDefault="008F7F64">
      <w:pPr>
        <w:jc w:val="both"/>
      </w:pPr>
    </w:p>
    <w:p w:rsidR="008F7F64" w:rsidRDefault="008F7F64">
      <w:pPr>
        <w:jc w:val="both"/>
      </w:pPr>
      <w:r>
        <w:t>L’estimation des commandes sur une période de 3 ans est indiquée ci-dessous, l’unité de décompte est la ramette de 500 feuilles.</w:t>
      </w:r>
    </w:p>
    <w:p w:rsidR="008F7F64" w:rsidRDefault="008F7F64">
      <w:pPr>
        <w:jc w:val="both"/>
      </w:pPr>
    </w:p>
    <w:tbl>
      <w:tblPr>
        <w:tblStyle w:val="Grilledutableau"/>
        <w:tblW w:w="0" w:type="auto"/>
        <w:tblInd w:w="250" w:type="dxa"/>
        <w:tblLook w:val="04A0"/>
      </w:tblPr>
      <w:tblGrid>
        <w:gridCol w:w="1592"/>
        <w:gridCol w:w="1842"/>
        <w:gridCol w:w="1842"/>
        <w:gridCol w:w="1842"/>
      </w:tblGrid>
      <w:tr w:rsidR="008F7F64" w:rsidTr="008F7F64">
        <w:tc>
          <w:tcPr>
            <w:tcW w:w="1592" w:type="dxa"/>
          </w:tcPr>
          <w:p w:rsidR="008F7F64" w:rsidRPr="008F7F64" w:rsidRDefault="008F7F64" w:rsidP="008F7F64">
            <w:pPr>
              <w:rPr>
                <w:rFonts w:asciiTheme="majorHAnsi" w:hAnsiTheme="majorHAnsi" w:cs="Arial"/>
              </w:rPr>
            </w:pPr>
            <w:r w:rsidRPr="008F7F64">
              <w:rPr>
                <w:rFonts w:asciiTheme="majorHAnsi" w:hAnsiTheme="majorHAnsi" w:cs="Arial"/>
              </w:rPr>
              <w:t>GRETA MONTAUBAN LYCEE BOURDELLE</w:t>
            </w:r>
          </w:p>
        </w:tc>
        <w:tc>
          <w:tcPr>
            <w:tcW w:w="1842" w:type="dxa"/>
          </w:tcPr>
          <w:p w:rsidR="008F7F64" w:rsidRPr="008F7F64" w:rsidRDefault="008F7F64" w:rsidP="008F7F64">
            <w:pPr>
              <w:rPr>
                <w:rFonts w:asciiTheme="majorHAnsi" w:hAnsiTheme="majorHAnsi" w:cs="Arial"/>
              </w:rPr>
            </w:pPr>
            <w:r w:rsidRPr="008F7F64">
              <w:rPr>
                <w:rFonts w:asciiTheme="majorHAnsi" w:hAnsiTheme="majorHAnsi" w:cs="Arial"/>
              </w:rPr>
              <w:t>GRETA MONTAUBAN</w:t>
            </w:r>
          </w:p>
        </w:tc>
        <w:tc>
          <w:tcPr>
            <w:tcW w:w="1842" w:type="dxa"/>
          </w:tcPr>
          <w:p w:rsidR="008F7F64" w:rsidRPr="008F7F64" w:rsidRDefault="008F7F64" w:rsidP="008F7F64">
            <w:pPr>
              <w:rPr>
                <w:rFonts w:asciiTheme="majorHAnsi" w:hAnsiTheme="majorHAnsi" w:cs="Arial"/>
              </w:rPr>
            </w:pPr>
            <w:r w:rsidRPr="008F7F64">
              <w:rPr>
                <w:rFonts w:asciiTheme="majorHAnsi" w:hAnsiTheme="majorHAnsi" w:cs="Arial"/>
              </w:rPr>
              <w:t>GRETA MOISSAC</w:t>
            </w:r>
          </w:p>
        </w:tc>
        <w:tc>
          <w:tcPr>
            <w:tcW w:w="1842" w:type="dxa"/>
          </w:tcPr>
          <w:p w:rsidR="008F7F64" w:rsidRPr="008F7F64" w:rsidRDefault="008F7F64" w:rsidP="008F7F64">
            <w:pPr>
              <w:rPr>
                <w:rFonts w:asciiTheme="majorHAnsi" w:hAnsiTheme="majorHAnsi" w:cs="Arial"/>
              </w:rPr>
            </w:pPr>
            <w:r w:rsidRPr="008F7F64">
              <w:rPr>
                <w:rFonts w:asciiTheme="majorHAnsi" w:hAnsiTheme="majorHAnsi" w:cs="Arial"/>
              </w:rPr>
              <w:t>GRETA AUCH</w:t>
            </w:r>
          </w:p>
        </w:tc>
      </w:tr>
      <w:tr w:rsidR="008F7F64" w:rsidTr="008F7F64">
        <w:tc>
          <w:tcPr>
            <w:tcW w:w="1592" w:type="dxa"/>
          </w:tcPr>
          <w:p w:rsidR="008F7F64" w:rsidRDefault="008F7F64" w:rsidP="008F7F64">
            <w:pPr>
              <w:rPr>
                <w:rFonts w:asciiTheme="majorHAnsi" w:hAnsiTheme="majorHAnsi" w:cs="Arial"/>
              </w:rPr>
            </w:pPr>
            <w:r w:rsidRPr="008F7F64">
              <w:rPr>
                <w:rFonts w:asciiTheme="majorHAnsi" w:hAnsiTheme="majorHAnsi" w:cs="Arial"/>
              </w:rPr>
              <w:t>600 ramettes A4 blanc</w:t>
            </w:r>
          </w:p>
          <w:p w:rsidR="00A13F83" w:rsidRDefault="00A13F83" w:rsidP="008F7F64">
            <w:pPr>
              <w:rPr>
                <w:rFonts w:asciiTheme="majorHAnsi" w:hAnsiTheme="majorHAnsi" w:cs="Arial"/>
              </w:rPr>
            </w:pPr>
            <w:r>
              <w:rPr>
                <w:rFonts w:asciiTheme="majorHAnsi" w:hAnsiTheme="majorHAnsi" w:cs="Arial"/>
              </w:rPr>
              <w:t>75 ramettes</w:t>
            </w:r>
          </w:p>
          <w:p w:rsidR="00A13F83" w:rsidRPr="008F7F64" w:rsidRDefault="00A13F83" w:rsidP="008F7F64">
            <w:pPr>
              <w:rPr>
                <w:rFonts w:asciiTheme="majorHAnsi" w:hAnsiTheme="majorHAnsi" w:cs="Arial"/>
              </w:rPr>
            </w:pPr>
            <w:r>
              <w:rPr>
                <w:rFonts w:asciiTheme="majorHAnsi" w:hAnsiTheme="majorHAnsi" w:cs="Arial"/>
              </w:rPr>
              <w:t>A3 blanc</w:t>
            </w:r>
          </w:p>
        </w:tc>
        <w:tc>
          <w:tcPr>
            <w:tcW w:w="1842" w:type="dxa"/>
          </w:tcPr>
          <w:p w:rsidR="008F7F64" w:rsidRDefault="008F7F64" w:rsidP="008F7F64">
            <w:pPr>
              <w:rPr>
                <w:rFonts w:asciiTheme="majorHAnsi" w:hAnsiTheme="majorHAnsi" w:cs="Arial"/>
              </w:rPr>
            </w:pPr>
            <w:r w:rsidRPr="008F7F64">
              <w:rPr>
                <w:rFonts w:asciiTheme="majorHAnsi" w:hAnsiTheme="majorHAnsi" w:cs="Arial"/>
              </w:rPr>
              <w:t>2 400 ramettes A4 blanc</w:t>
            </w:r>
          </w:p>
          <w:p w:rsidR="00A13F83" w:rsidRPr="008F7F64" w:rsidRDefault="00A13F83" w:rsidP="008F7F64">
            <w:pPr>
              <w:rPr>
                <w:rFonts w:asciiTheme="majorHAnsi" w:hAnsiTheme="majorHAnsi" w:cs="Arial"/>
              </w:rPr>
            </w:pPr>
            <w:r>
              <w:rPr>
                <w:rFonts w:asciiTheme="majorHAnsi" w:hAnsiTheme="majorHAnsi" w:cs="Arial"/>
              </w:rPr>
              <w:t>75 ramettes A3 blanc</w:t>
            </w:r>
          </w:p>
        </w:tc>
        <w:tc>
          <w:tcPr>
            <w:tcW w:w="1842" w:type="dxa"/>
          </w:tcPr>
          <w:p w:rsidR="008F7F64" w:rsidRDefault="008F7F64" w:rsidP="008F7F64">
            <w:pPr>
              <w:rPr>
                <w:rFonts w:asciiTheme="majorHAnsi" w:hAnsiTheme="majorHAnsi" w:cs="Arial"/>
              </w:rPr>
            </w:pPr>
            <w:r w:rsidRPr="008F7F64">
              <w:rPr>
                <w:rFonts w:asciiTheme="majorHAnsi" w:hAnsiTheme="majorHAnsi" w:cs="Arial"/>
              </w:rPr>
              <w:t>1 200 ramettes A4 blanc</w:t>
            </w:r>
          </w:p>
          <w:p w:rsidR="00A13F83" w:rsidRPr="008F7F64" w:rsidRDefault="00A13F83" w:rsidP="008F7F64">
            <w:pPr>
              <w:rPr>
                <w:rFonts w:asciiTheme="majorHAnsi" w:hAnsiTheme="majorHAnsi" w:cs="Arial"/>
              </w:rPr>
            </w:pPr>
            <w:r>
              <w:rPr>
                <w:rFonts w:asciiTheme="majorHAnsi" w:hAnsiTheme="majorHAnsi" w:cs="Arial"/>
              </w:rPr>
              <w:t>30 ramettes A3 blanc</w:t>
            </w:r>
          </w:p>
        </w:tc>
        <w:tc>
          <w:tcPr>
            <w:tcW w:w="1842" w:type="dxa"/>
          </w:tcPr>
          <w:p w:rsidR="008F7F64" w:rsidRDefault="008F7F64" w:rsidP="008F7F64">
            <w:pPr>
              <w:rPr>
                <w:rFonts w:asciiTheme="majorHAnsi" w:hAnsiTheme="majorHAnsi" w:cs="Arial"/>
              </w:rPr>
            </w:pPr>
            <w:r w:rsidRPr="008F7F64">
              <w:rPr>
                <w:rFonts w:asciiTheme="majorHAnsi" w:hAnsiTheme="majorHAnsi" w:cs="Arial"/>
              </w:rPr>
              <w:t>2 400 ramettes A4 blanc</w:t>
            </w:r>
          </w:p>
          <w:p w:rsidR="00A13F83" w:rsidRPr="008F7F64" w:rsidRDefault="00A13F83" w:rsidP="008F7F64">
            <w:pPr>
              <w:rPr>
                <w:rFonts w:asciiTheme="majorHAnsi" w:hAnsiTheme="majorHAnsi" w:cs="Arial"/>
              </w:rPr>
            </w:pPr>
            <w:r>
              <w:rPr>
                <w:rFonts w:asciiTheme="majorHAnsi" w:hAnsiTheme="majorHAnsi" w:cs="Arial"/>
              </w:rPr>
              <w:t>75 ramettes A3 blanc</w:t>
            </w:r>
          </w:p>
        </w:tc>
      </w:tr>
    </w:tbl>
    <w:p w:rsidR="008F7F64" w:rsidRPr="000A3EA1" w:rsidRDefault="008F7F64">
      <w:pPr>
        <w:jc w:val="both"/>
      </w:pPr>
    </w:p>
    <w:p w:rsidR="00332FDA" w:rsidRPr="00603F7D" w:rsidRDefault="00332FDA" w:rsidP="00603F7D">
      <w:pPr>
        <w:pStyle w:val="Titre3"/>
        <w:rPr>
          <w:u w:val="single"/>
        </w:rPr>
      </w:pPr>
      <w:bookmarkStart w:id="1" w:name="_Toc440976885"/>
      <w:r w:rsidRPr="00603F7D">
        <w:rPr>
          <w:u w:val="single"/>
        </w:rPr>
        <w:t>A</w:t>
      </w:r>
      <w:r w:rsidR="00603F7D">
        <w:rPr>
          <w:u w:val="single"/>
        </w:rPr>
        <w:t>rticle</w:t>
      </w:r>
      <w:r w:rsidRPr="00603F7D">
        <w:rPr>
          <w:u w:val="single"/>
        </w:rPr>
        <w:t xml:space="preserve"> 2 : </w:t>
      </w:r>
      <w:r w:rsidR="00603F7D">
        <w:rPr>
          <w:u w:val="single"/>
        </w:rPr>
        <w:t>Documents contractuels</w:t>
      </w:r>
      <w:bookmarkEnd w:id="1"/>
    </w:p>
    <w:p w:rsidR="00332FDA" w:rsidRPr="000A3EA1" w:rsidRDefault="00332FDA">
      <w:pPr>
        <w:jc w:val="both"/>
      </w:pPr>
    </w:p>
    <w:p w:rsidR="00332FDA" w:rsidRPr="000A3EA1" w:rsidRDefault="00332FDA">
      <w:pPr>
        <w:jc w:val="both"/>
      </w:pPr>
      <w:r w:rsidRPr="000A3EA1">
        <w:t xml:space="preserve">Le marché conclu dans le cadre </w:t>
      </w:r>
      <w:r w:rsidR="00C75AB4">
        <w:t>des dispositions de l‘article 27</w:t>
      </w:r>
      <w:r w:rsidRPr="000A3EA1">
        <w:t xml:space="preserve"> du code des marchés </w:t>
      </w:r>
      <w:r w:rsidR="00C775F3" w:rsidRPr="000A3EA1">
        <w:t>publics</w:t>
      </w:r>
      <w:r w:rsidR="00C775F3">
        <w:t>,</w:t>
      </w:r>
      <w:r w:rsidR="00C775F3" w:rsidRPr="000A3EA1">
        <w:t xml:space="preserve"> sans</w:t>
      </w:r>
      <w:r w:rsidRPr="000A3EA1">
        <w:t xml:space="preserve"> formalités particulières</w:t>
      </w:r>
      <w:r w:rsidR="00C775F3">
        <w:t>,</w:t>
      </w:r>
      <w:r w:rsidRPr="000A3EA1">
        <w:t xml:space="preserve"> est constitué par les documents énumérés ci dessous, par ordre de priorité décroissante</w:t>
      </w:r>
      <w:r w:rsidR="007F2578" w:rsidRPr="000A3EA1">
        <w:t xml:space="preserve"> </w:t>
      </w:r>
      <w:r w:rsidRPr="000A3EA1">
        <w:t xml:space="preserve">: </w:t>
      </w:r>
    </w:p>
    <w:p w:rsidR="00332FDA" w:rsidRPr="000A3EA1" w:rsidRDefault="00332FDA">
      <w:pPr>
        <w:jc w:val="both"/>
      </w:pPr>
    </w:p>
    <w:p w:rsidR="007D2B46" w:rsidRPr="007D2B46" w:rsidRDefault="007D2B46" w:rsidP="007D2B46">
      <w:pPr>
        <w:pStyle w:val="Paragraphedeliste"/>
        <w:numPr>
          <w:ilvl w:val="0"/>
          <w:numId w:val="2"/>
        </w:numPr>
        <w:jc w:val="both"/>
      </w:pPr>
      <w:r>
        <w:t>L’</w:t>
      </w:r>
      <w:r w:rsidRPr="007D2B46">
        <w:t>acte d'engagement complété, daté</w:t>
      </w:r>
      <w:r>
        <w:t>, cacheté</w:t>
      </w:r>
      <w:r w:rsidRPr="007D2B46">
        <w:t xml:space="preserve"> et signé ;</w:t>
      </w:r>
    </w:p>
    <w:p w:rsidR="008D7457" w:rsidRPr="000A3EA1" w:rsidRDefault="008D7457" w:rsidP="008D7457">
      <w:pPr>
        <w:pStyle w:val="Paragraphedeliste"/>
        <w:numPr>
          <w:ilvl w:val="0"/>
          <w:numId w:val="2"/>
        </w:numPr>
        <w:jc w:val="both"/>
      </w:pPr>
      <w:r w:rsidRPr="000A3EA1">
        <w:t>Le bordereau descriptif des prix ;</w:t>
      </w:r>
      <w:r w:rsidR="007D2B46" w:rsidRPr="007D2B46">
        <w:rPr>
          <w:rFonts w:asciiTheme="majorHAnsi" w:hAnsiTheme="majorHAnsi"/>
          <w:sz w:val="22"/>
          <w:szCs w:val="22"/>
        </w:rPr>
        <w:t xml:space="preserve"> </w:t>
      </w:r>
      <w:r w:rsidR="007D2B46" w:rsidRPr="007D2B46">
        <w:t xml:space="preserve">complété, </w:t>
      </w:r>
      <w:r w:rsidR="007D2B46">
        <w:t>cacheté,</w:t>
      </w:r>
      <w:r w:rsidR="007D2B46" w:rsidRPr="007D2B46">
        <w:t xml:space="preserve"> daté et  signé</w:t>
      </w:r>
    </w:p>
    <w:p w:rsidR="00332FDA" w:rsidRDefault="008D7457" w:rsidP="008D7457">
      <w:pPr>
        <w:pStyle w:val="Paragraphedeliste"/>
        <w:numPr>
          <w:ilvl w:val="0"/>
          <w:numId w:val="2"/>
        </w:numPr>
        <w:jc w:val="both"/>
      </w:pPr>
      <w:r w:rsidRPr="000A3EA1">
        <w:t xml:space="preserve">le présent Cahier des Clauses Particulières </w:t>
      </w:r>
      <w:r w:rsidR="00443C66" w:rsidRPr="000A3EA1">
        <w:t>;</w:t>
      </w:r>
      <w:r w:rsidR="00443C66">
        <w:t xml:space="preserve"> paraphé</w:t>
      </w:r>
      <w:r w:rsidR="007D2B46">
        <w:t xml:space="preserve"> à chaque page, daté, cacheté et signé sur la dernière.</w:t>
      </w:r>
    </w:p>
    <w:p w:rsidR="007D2B46" w:rsidRPr="007D2B46" w:rsidRDefault="007D2B46" w:rsidP="007D2B46">
      <w:pPr>
        <w:pStyle w:val="Paragraphedeliste"/>
        <w:numPr>
          <w:ilvl w:val="0"/>
          <w:numId w:val="2"/>
        </w:numPr>
        <w:jc w:val="both"/>
      </w:pPr>
      <w:r w:rsidRPr="007D2B46">
        <w:t>Le cadre de mémoire technique, cacheté, daté et signé  et les  fiches techniques des produits proposés.</w:t>
      </w:r>
    </w:p>
    <w:p w:rsidR="00C75AB4" w:rsidRPr="00C75AB4" w:rsidRDefault="008D7457" w:rsidP="00C75AB4">
      <w:pPr>
        <w:pStyle w:val="Titre1"/>
        <w:numPr>
          <w:ilvl w:val="0"/>
          <w:numId w:val="2"/>
        </w:numPr>
        <w:shd w:val="clear" w:color="auto" w:fill="FFFFFF"/>
        <w:spacing w:after="96"/>
        <w:jc w:val="left"/>
        <w:rPr>
          <w:rFonts w:ascii="Times New Roman" w:hAnsi="Times New Roman"/>
          <w:b w:val="0"/>
          <w:color w:val="222222"/>
          <w:sz w:val="20"/>
        </w:rPr>
      </w:pPr>
      <w:proofErr w:type="gramStart"/>
      <w:r w:rsidRPr="00C75AB4">
        <w:rPr>
          <w:b w:val="0"/>
        </w:rPr>
        <w:t>le</w:t>
      </w:r>
      <w:proofErr w:type="gramEnd"/>
      <w:r w:rsidRPr="00C75AB4">
        <w:rPr>
          <w:b w:val="0"/>
        </w:rPr>
        <w:t xml:space="preserve"> </w:t>
      </w:r>
      <w:r w:rsidR="00C75AB4" w:rsidRPr="00C75AB4">
        <w:rPr>
          <w:rFonts w:ascii="Times New Roman" w:hAnsi="Times New Roman"/>
          <w:b w:val="0"/>
          <w:color w:val="004242"/>
          <w:sz w:val="20"/>
        </w:rPr>
        <w:t xml:space="preserve">CCAG-FCS 2009 - Cahier des Clauses Administratives Générales applicables aux marchés publics de Fournitures Courantes et Services </w:t>
      </w:r>
      <w:r w:rsidR="00C75AB4" w:rsidRPr="00C75AB4">
        <w:rPr>
          <w:rFonts w:ascii="Times New Roman" w:hAnsi="Times New Roman"/>
          <w:b w:val="0"/>
          <w:color w:val="222222"/>
          <w:sz w:val="20"/>
        </w:rPr>
        <w:t>issu de l'</w:t>
      </w:r>
      <w:hyperlink r:id="rId8" w:history="1">
        <w:r w:rsidR="00C75AB4" w:rsidRPr="00C75AB4">
          <w:rPr>
            <w:rStyle w:val="Lienhypertexte"/>
            <w:rFonts w:ascii="Times New Roman" w:hAnsi="Times New Roman"/>
            <w:b w:val="0"/>
            <w:color w:val="FF3300"/>
            <w:sz w:val="20"/>
            <w:bdr w:val="none" w:sz="0" w:space="0" w:color="auto" w:frame="1"/>
          </w:rPr>
          <w:t>arrêté du 19 janvier 2009</w:t>
        </w:r>
      </w:hyperlink>
      <w:r w:rsidR="00C75AB4" w:rsidRPr="00C75AB4">
        <w:rPr>
          <w:rFonts w:ascii="Times New Roman" w:hAnsi="Times New Roman"/>
          <w:b w:val="0"/>
          <w:color w:val="222222"/>
          <w:sz w:val="20"/>
        </w:rPr>
        <w:t> portant approbation du cahier des clauses administratives générales des marchés publics de fournitures courantes et de services - NOR: ECEM0816423A publié au JO du 19 mars 2009.</w:t>
      </w:r>
    </w:p>
    <w:p w:rsidR="00332FDA" w:rsidRDefault="009A2DE0" w:rsidP="00E52C4E">
      <w:pPr>
        <w:jc w:val="both"/>
      </w:pPr>
      <w:r w:rsidRPr="009A2DE0">
        <w:t xml:space="preserve">Ce document n’est pas fourni </w:t>
      </w:r>
      <w:r>
        <w:t xml:space="preserve">au dossier </w:t>
      </w:r>
      <w:r w:rsidRPr="009A2DE0">
        <w:t>mais est téléchargeable sur :</w:t>
      </w:r>
      <w:r w:rsidR="00E52C4E">
        <w:t xml:space="preserve"> </w:t>
      </w:r>
      <w:r w:rsidR="00C75AB4" w:rsidRPr="00C75AB4">
        <w:t>http://www.marche-public.fr/CCAG-FCS-2009-2010-telecharger.htm</w:t>
      </w:r>
    </w:p>
    <w:p w:rsidR="007D2B46" w:rsidRPr="000A3EA1" w:rsidRDefault="007D2B46">
      <w:pPr>
        <w:ind w:left="709"/>
        <w:jc w:val="both"/>
      </w:pPr>
    </w:p>
    <w:p w:rsidR="00332FDA" w:rsidRPr="00603F7D" w:rsidRDefault="00332FDA" w:rsidP="00603F7D">
      <w:pPr>
        <w:pStyle w:val="Titre3"/>
        <w:rPr>
          <w:u w:val="single"/>
        </w:rPr>
      </w:pPr>
      <w:bookmarkStart w:id="2" w:name="_Toc440976886"/>
      <w:r w:rsidRPr="00603F7D">
        <w:rPr>
          <w:u w:val="single"/>
        </w:rPr>
        <w:t>A</w:t>
      </w:r>
      <w:r w:rsidR="00603F7D">
        <w:rPr>
          <w:u w:val="single"/>
        </w:rPr>
        <w:t>rticle</w:t>
      </w:r>
      <w:r w:rsidRPr="00603F7D">
        <w:rPr>
          <w:u w:val="single"/>
        </w:rPr>
        <w:t xml:space="preserve">3 : </w:t>
      </w:r>
      <w:r w:rsidR="00603F7D">
        <w:rPr>
          <w:u w:val="single"/>
        </w:rPr>
        <w:t>Modalités d’exécution</w:t>
      </w:r>
      <w:bookmarkEnd w:id="2"/>
    </w:p>
    <w:p w:rsidR="00332FDA" w:rsidRPr="000A3EA1" w:rsidRDefault="00332FDA">
      <w:pPr>
        <w:jc w:val="both"/>
      </w:pPr>
    </w:p>
    <w:p w:rsidR="00332FDA" w:rsidRPr="000A3EA1" w:rsidRDefault="00332FDA">
      <w:pPr>
        <w:jc w:val="both"/>
      </w:pPr>
      <w:r w:rsidRPr="000A3EA1">
        <w:t xml:space="preserve">La fourniture devra être livrée dans le délai fixé par les bons de commande. </w:t>
      </w:r>
    </w:p>
    <w:p w:rsidR="00332FDA" w:rsidRPr="000A3EA1" w:rsidRDefault="00332FDA">
      <w:pPr>
        <w:jc w:val="both"/>
      </w:pPr>
    </w:p>
    <w:p w:rsidR="00332FDA" w:rsidRPr="000A3EA1" w:rsidRDefault="00332FDA">
      <w:pPr>
        <w:jc w:val="both"/>
      </w:pPr>
      <w:r w:rsidRPr="000A3EA1">
        <w:t>Les bons de commande ne peuvent être émis que pendant la période de validité du marché; ils sont délivrés et signés par l’ordonnateur ou ses représentants habilités</w:t>
      </w:r>
      <w:r w:rsidR="00157457" w:rsidRPr="000A3EA1">
        <w:t xml:space="preserve"> et doivent comporter</w:t>
      </w:r>
      <w:r w:rsidRPr="000A3EA1">
        <w:t xml:space="preserve"> : </w:t>
      </w:r>
    </w:p>
    <w:p w:rsidR="00332FDA" w:rsidRPr="000A3EA1" w:rsidRDefault="00332FDA" w:rsidP="00546D5C">
      <w:pPr>
        <w:pStyle w:val="Paragraphedeliste"/>
        <w:numPr>
          <w:ilvl w:val="0"/>
          <w:numId w:val="1"/>
        </w:numPr>
        <w:jc w:val="both"/>
      </w:pPr>
      <w:r w:rsidRPr="000A3EA1">
        <w:t>la référence du marché</w:t>
      </w:r>
    </w:p>
    <w:p w:rsidR="00332FDA" w:rsidRPr="000A3EA1" w:rsidRDefault="00332FDA" w:rsidP="00546D5C">
      <w:pPr>
        <w:pStyle w:val="Paragraphedeliste"/>
        <w:numPr>
          <w:ilvl w:val="0"/>
          <w:numId w:val="1"/>
        </w:numPr>
        <w:jc w:val="both"/>
      </w:pPr>
      <w:r w:rsidRPr="000A3EA1">
        <w:t>la désignation de la fourniture</w:t>
      </w:r>
    </w:p>
    <w:p w:rsidR="00332FDA" w:rsidRPr="000A3EA1" w:rsidRDefault="00332FDA" w:rsidP="00546D5C">
      <w:pPr>
        <w:pStyle w:val="Paragraphedeliste"/>
        <w:numPr>
          <w:ilvl w:val="0"/>
          <w:numId w:val="1"/>
        </w:numPr>
        <w:jc w:val="both"/>
      </w:pPr>
      <w:r w:rsidRPr="000A3EA1">
        <w:t>la quantité commandée</w:t>
      </w:r>
    </w:p>
    <w:p w:rsidR="00332FDA" w:rsidRPr="000A3EA1" w:rsidRDefault="00332FDA" w:rsidP="00546D5C">
      <w:pPr>
        <w:pStyle w:val="Paragraphedeliste"/>
        <w:numPr>
          <w:ilvl w:val="0"/>
          <w:numId w:val="1"/>
        </w:numPr>
        <w:jc w:val="both"/>
      </w:pPr>
      <w:r w:rsidRPr="000A3EA1">
        <w:t>le lieu et le délai (ou date) d'exécution ou de livraison; en cas d'échelonnement: délais ou dates</w:t>
      </w:r>
    </w:p>
    <w:p w:rsidR="00332FDA" w:rsidRPr="000A3EA1" w:rsidRDefault="00332FDA" w:rsidP="00546D5C">
      <w:pPr>
        <w:pStyle w:val="Paragraphedeliste"/>
        <w:numPr>
          <w:ilvl w:val="0"/>
          <w:numId w:val="1"/>
        </w:numPr>
        <w:jc w:val="both"/>
      </w:pPr>
      <w:r w:rsidRPr="000A3EA1">
        <w:t>le prix correspondant</w:t>
      </w:r>
    </w:p>
    <w:p w:rsidR="00332FDA" w:rsidRPr="000A3EA1" w:rsidRDefault="00332FDA">
      <w:pPr>
        <w:jc w:val="both"/>
      </w:pPr>
    </w:p>
    <w:p w:rsidR="00332FDA" w:rsidRPr="00603F7D" w:rsidRDefault="00332FDA" w:rsidP="00603F7D">
      <w:pPr>
        <w:pStyle w:val="Titre3"/>
        <w:rPr>
          <w:u w:val="single"/>
        </w:rPr>
      </w:pPr>
      <w:bookmarkStart w:id="3" w:name="_Toc440976887"/>
      <w:r w:rsidRPr="00603F7D">
        <w:rPr>
          <w:u w:val="single"/>
        </w:rPr>
        <w:t>A</w:t>
      </w:r>
      <w:r w:rsidR="00603F7D">
        <w:rPr>
          <w:u w:val="single"/>
        </w:rPr>
        <w:t>rticle</w:t>
      </w:r>
      <w:r w:rsidRPr="00603F7D">
        <w:rPr>
          <w:u w:val="single"/>
        </w:rPr>
        <w:t xml:space="preserve"> 4: </w:t>
      </w:r>
      <w:r w:rsidR="00443C66">
        <w:rPr>
          <w:u w:val="single"/>
        </w:rPr>
        <w:t>Sous-traitance</w:t>
      </w:r>
      <w:bookmarkEnd w:id="3"/>
    </w:p>
    <w:p w:rsidR="00332FDA" w:rsidRPr="000A3EA1" w:rsidRDefault="00332FDA">
      <w:pPr>
        <w:jc w:val="both"/>
      </w:pPr>
    </w:p>
    <w:p w:rsidR="00332FDA" w:rsidRPr="000A3EA1" w:rsidRDefault="00332FDA">
      <w:pPr>
        <w:jc w:val="both"/>
      </w:pPr>
      <w:r w:rsidRPr="000A3EA1">
        <w:t>Le titulaire du marché ne pourra en aucun cas transmettre tout ou partie de la fourniture à un sous</w:t>
      </w:r>
      <w:r w:rsidRPr="000A3EA1">
        <w:noBreakHyphen/>
        <w:t>traitant, sans l'accord exprès du lycée demandé par lettre recommandée avec accusé de réception un mois avant la date prévue pour la sous</w:t>
      </w:r>
      <w:r w:rsidRPr="000A3EA1">
        <w:noBreakHyphen/>
        <w:t xml:space="preserve">traitance. </w:t>
      </w:r>
    </w:p>
    <w:p w:rsidR="00332FDA" w:rsidRPr="000A3EA1" w:rsidRDefault="00332FDA">
      <w:pPr>
        <w:jc w:val="both"/>
      </w:pPr>
    </w:p>
    <w:p w:rsidR="00332FDA" w:rsidRPr="00603F7D" w:rsidRDefault="00603F7D" w:rsidP="00603F7D">
      <w:pPr>
        <w:pStyle w:val="Titre3"/>
        <w:rPr>
          <w:u w:val="single"/>
        </w:rPr>
      </w:pPr>
      <w:bookmarkStart w:id="4" w:name="_Toc440976888"/>
      <w:r>
        <w:rPr>
          <w:u w:val="single"/>
        </w:rPr>
        <w:t>Article</w:t>
      </w:r>
      <w:r w:rsidR="00332FDA" w:rsidRPr="00603F7D">
        <w:rPr>
          <w:u w:val="single"/>
        </w:rPr>
        <w:t xml:space="preserve"> 5: </w:t>
      </w:r>
      <w:r>
        <w:rPr>
          <w:u w:val="single"/>
        </w:rPr>
        <w:t>Conditions de livraison</w:t>
      </w:r>
      <w:bookmarkEnd w:id="4"/>
    </w:p>
    <w:p w:rsidR="00332FDA" w:rsidRPr="000A3EA1" w:rsidRDefault="00332FDA">
      <w:pPr>
        <w:jc w:val="both"/>
      </w:pPr>
    </w:p>
    <w:p w:rsidR="00332FDA" w:rsidRPr="000A3EA1" w:rsidRDefault="00332FDA">
      <w:pPr>
        <w:jc w:val="both"/>
      </w:pPr>
      <w:r w:rsidRPr="000A3EA1">
        <w:t xml:space="preserve">Les livraisons conformes aux commandes seront effectuées </w:t>
      </w:r>
      <w:r w:rsidRPr="000A3EA1">
        <w:rPr>
          <w:u w:val="single"/>
        </w:rPr>
        <w:t>franco de port et d'emballage</w:t>
      </w:r>
      <w:r w:rsidRPr="000A3EA1">
        <w:t xml:space="preserve">, au lieu, à la date précisés sur le bon de commande, les fournitures seront accompagnées d'un bulletin de livraison indiquant : </w:t>
      </w:r>
    </w:p>
    <w:p w:rsidR="00332FDA" w:rsidRPr="000A3EA1" w:rsidRDefault="00332FDA">
      <w:pPr>
        <w:jc w:val="center"/>
      </w:pPr>
    </w:p>
    <w:p w:rsidR="00332FDA" w:rsidRPr="000A3EA1" w:rsidRDefault="00546D5C">
      <w:pPr>
        <w:jc w:val="both"/>
      </w:pPr>
      <w:r w:rsidRPr="000A3EA1">
        <w:tab/>
        <w:t xml:space="preserve">. </w:t>
      </w:r>
      <w:r w:rsidR="00332FDA" w:rsidRPr="000A3EA1">
        <w:t xml:space="preserve">Ies caractéristiques essentielles de la fourniture (qualité, </w:t>
      </w:r>
      <w:r w:rsidR="00480B66" w:rsidRPr="000A3EA1">
        <w:t>etc.</w:t>
      </w:r>
      <w:r w:rsidR="00332FDA" w:rsidRPr="000A3EA1">
        <w:t xml:space="preserve">) </w:t>
      </w:r>
    </w:p>
    <w:p w:rsidR="00332FDA" w:rsidRPr="000A3EA1" w:rsidRDefault="00332FDA">
      <w:pPr>
        <w:jc w:val="both"/>
      </w:pPr>
      <w:r w:rsidRPr="000A3EA1">
        <w:tab/>
        <w:t>. Ies quantités livrées</w:t>
      </w:r>
    </w:p>
    <w:p w:rsidR="00332FDA" w:rsidRPr="000A3EA1" w:rsidRDefault="00332FDA">
      <w:pPr>
        <w:jc w:val="both"/>
      </w:pPr>
      <w:r w:rsidRPr="000A3EA1">
        <w:tab/>
        <w:t xml:space="preserve">. Ies prix unitaires et totaux. </w:t>
      </w:r>
    </w:p>
    <w:p w:rsidR="00332FDA" w:rsidRPr="000A3EA1" w:rsidRDefault="00332FDA">
      <w:pPr>
        <w:jc w:val="both"/>
      </w:pPr>
    </w:p>
    <w:p w:rsidR="00332FDA" w:rsidRDefault="00332FDA">
      <w:pPr>
        <w:jc w:val="both"/>
      </w:pPr>
      <w:r w:rsidRPr="000A3EA1">
        <w:t xml:space="preserve">Le double du bon de livraison signé par les personnes habilitées du lycée, vaudra procès verbal de réception. </w:t>
      </w:r>
    </w:p>
    <w:p w:rsidR="008F7F64" w:rsidRPr="000A3EA1" w:rsidRDefault="008F7F64">
      <w:pPr>
        <w:jc w:val="both"/>
      </w:pPr>
    </w:p>
    <w:p w:rsidR="00B01F5B" w:rsidRPr="008F7F64" w:rsidRDefault="008F7F64">
      <w:pPr>
        <w:jc w:val="both"/>
        <w:rPr>
          <w:b/>
        </w:rPr>
      </w:pPr>
      <w:r w:rsidRPr="008F7F64">
        <w:rPr>
          <w:b/>
        </w:rPr>
        <w:t>Lot N° 1</w:t>
      </w:r>
    </w:p>
    <w:p w:rsidR="00B01F5B" w:rsidRDefault="00CB1D37">
      <w:pPr>
        <w:jc w:val="both"/>
      </w:pPr>
      <w:r>
        <w:t>L</w:t>
      </w:r>
      <w:r w:rsidR="00A84920" w:rsidRPr="00C67F1C">
        <w:t xml:space="preserve">a livraison devra se faire </w:t>
      </w:r>
      <w:r w:rsidR="00200836" w:rsidRPr="00C67F1C">
        <w:t>le matin seulement</w:t>
      </w:r>
      <w:r w:rsidR="00420A77">
        <w:t xml:space="preserve"> avant 10 h 30 (un appel téléphonique précisant la date de livraison serait souhaitable 48 h à l’avance avec M ESQUENET, Agent Chef) </w:t>
      </w:r>
      <w:r w:rsidR="00200836" w:rsidRPr="00C67F1C">
        <w:t xml:space="preserve"> </w:t>
      </w:r>
      <w:r w:rsidR="005C568B" w:rsidRPr="00C67F1C">
        <w:t xml:space="preserve">et le livreur devra </w:t>
      </w:r>
      <w:r w:rsidR="007A5438" w:rsidRPr="00C67F1C">
        <w:t xml:space="preserve">impérativement </w:t>
      </w:r>
      <w:r w:rsidR="005C568B" w:rsidRPr="00C67F1C">
        <w:t>avoir un transpalette</w:t>
      </w:r>
      <w:r w:rsidR="007A5438" w:rsidRPr="00C67F1C">
        <w:t xml:space="preserve"> ou un équipement rendant les mêmes services</w:t>
      </w:r>
      <w:r w:rsidR="005C568B" w:rsidRPr="00C67F1C">
        <w:t>.</w:t>
      </w:r>
      <w:r w:rsidR="00A84920" w:rsidRPr="00C67F1C">
        <w:t xml:space="preserve"> </w:t>
      </w:r>
      <w:r>
        <w:t xml:space="preserve">4 livraisons par an. </w:t>
      </w:r>
    </w:p>
    <w:p w:rsidR="00CB1D37" w:rsidRDefault="00CB1D37">
      <w:pPr>
        <w:jc w:val="both"/>
      </w:pPr>
      <w:r>
        <w:t>Les plans joints en annexe précisent les dimensions du local de stockage, ainsi que sa situation dans l’enceinte du lycée.</w:t>
      </w:r>
    </w:p>
    <w:p w:rsidR="008F7F64" w:rsidRDefault="008F7F64">
      <w:pPr>
        <w:jc w:val="both"/>
        <w:rPr>
          <w:b/>
        </w:rPr>
      </w:pPr>
      <w:r w:rsidRPr="008F7F64">
        <w:rPr>
          <w:b/>
        </w:rPr>
        <w:t>Lot N°2</w:t>
      </w:r>
    </w:p>
    <w:p w:rsidR="008F7F64" w:rsidRPr="00C11CFE" w:rsidRDefault="008F7F64">
      <w:pPr>
        <w:jc w:val="both"/>
      </w:pPr>
      <w:r w:rsidRPr="00C11CFE">
        <w:t>Le Greta Midi Pyrénées Ouest est composé d’établissements répartis sur plusieurs lieux géographiques :</w:t>
      </w:r>
    </w:p>
    <w:p w:rsidR="008F7F64" w:rsidRDefault="008F7F64" w:rsidP="008F7F64">
      <w:pPr>
        <w:pStyle w:val="Paragraphedeliste"/>
        <w:numPr>
          <w:ilvl w:val="0"/>
          <w:numId w:val="1"/>
        </w:numPr>
        <w:jc w:val="both"/>
      </w:pPr>
      <w:r w:rsidRPr="00C11CFE">
        <w:t xml:space="preserve">Le Greta de Montauban </w:t>
      </w:r>
      <w:r w:rsidR="00C11CFE" w:rsidRPr="00C11CFE">
        <w:t>situé au Lycée Bourdelle au 1</w:t>
      </w:r>
      <w:r w:rsidR="00C11CFE" w:rsidRPr="00C11CFE">
        <w:rPr>
          <w:vertAlign w:val="superscript"/>
        </w:rPr>
        <w:t>er</w:t>
      </w:r>
      <w:r w:rsidR="00C11CFE" w:rsidRPr="00C11CFE">
        <w:t xml:space="preserve"> étage du Bâtiment N (avec ascenseur</w:t>
      </w:r>
      <w:r w:rsidR="001010E3">
        <w:t xml:space="preserve"> dimensions 80 cm entrée et 1.60 m de profondeur</w:t>
      </w:r>
      <w:r w:rsidR="00C11CFE" w:rsidRPr="00C11CFE">
        <w:t xml:space="preserve">) </w:t>
      </w:r>
      <w:proofErr w:type="spellStart"/>
      <w:r w:rsidR="00C11CFE" w:rsidRPr="00C11CFE">
        <w:t>cf</w:t>
      </w:r>
      <w:proofErr w:type="spellEnd"/>
      <w:r w:rsidR="00C11CFE" w:rsidRPr="00C11CFE">
        <w:t xml:space="preserve"> plan du lycée joint en annexe</w:t>
      </w:r>
    </w:p>
    <w:p w:rsidR="00C11CFE" w:rsidRDefault="00C11CFE" w:rsidP="008F7F64">
      <w:pPr>
        <w:pStyle w:val="Paragraphedeliste"/>
        <w:numPr>
          <w:ilvl w:val="0"/>
          <w:numId w:val="1"/>
        </w:numPr>
        <w:jc w:val="both"/>
      </w:pPr>
      <w:r w:rsidRPr="00C11CFE">
        <w:t>Le Greta de Montauban 12 rue du Général Sarrail</w:t>
      </w:r>
      <w:r>
        <w:t xml:space="preserve"> 1</w:t>
      </w:r>
      <w:r w:rsidRPr="00C11CFE">
        <w:rPr>
          <w:vertAlign w:val="superscript"/>
        </w:rPr>
        <w:t>er</w:t>
      </w:r>
      <w:r>
        <w:t xml:space="preserve"> étage</w:t>
      </w:r>
      <w:r w:rsidRPr="00C11CFE">
        <w:t xml:space="preserve"> </w:t>
      </w:r>
      <w:r>
        <w:t>(bâtiment avec ascenseur)</w:t>
      </w:r>
    </w:p>
    <w:p w:rsidR="00C11CFE" w:rsidRDefault="00C11CFE" w:rsidP="008F7F64">
      <w:pPr>
        <w:pStyle w:val="Paragraphedeliste"/>
        <w:numPr>
          <w:ilvl w:val="0"/>
          <w:numId w:val="1"/>
        </w:numPr>
        <w:jc w:val="both"/>
      </w:pPr>
      <w:r>
        <w:t>Le Greta de Moissac 27 rue de la Solidarité 3</w:t>
      </w:r>
      <w:r w:rsidRPr="00C11CFE">
        <w:rPr>
          <w:vertAlign w:val="superscript"/>
        </w:rPr>
        <w:t>ème</w:t>
      </w:r>
      <w:r>
        <w:t xml:space="preserve"> étage (bâtiment avec ascenseur)</w:t>
      </w:r>
    </w:p>
    <w:p w:rsidR="00C11CFE" w:rsidRDefault="00C11CFE" w:rsidP="008F7F64">
      <w:pPr>
        <w:pStyle w:val="Paragraphedeliste"/>
        <w:numPr>
          <w:ilvl w:val="0"/>
          <w:numId w:val="1"/>
        </w:numPr>
        <w:jc w:val="both"/>
      </w:pPr>
      <w:r>
        <w:t>Le Greta d’Auch 7 bis rue Gambetta 2</w:t>
      </w:r>
      <w:r w:rsidRPr="00C11CFE">
        <w:rPr>
          <w:vertAlign w:val="superscript"/>
        </w:rPr>
        <w:t>ème</w:t>
      </w:r>
      <w:r>
        <w:t xml:space="preserve"> étage (bâtiment avec ascenseur)</w:t>
      </w:r>
    </w:p>
    <w:p w:rsidR="00A13F83" w:rsidRPr="00C11CFE" w:rsidRDefault="00A13F83" w:rsidP="00A13F83">
      <w:pPr>
        <w:jc w:val="both"/>
      </w:pPr>
      <w:r>
        <w:t>La personne responsable du suivi de la livraison est M MAYNARD Pascal</w:t>
      </w:r>
    </w:p>
    <w:p w:rsidR="00332FDA" w:rsidRPr="00603F7D" w:rsidRDefault="00603F7D" w:rsidP="00603F7D">
      <w:pPr>
        <w:pStyle w:val="Titre3"/>
        <w:rPr>
          <w:u w:val="single"/>
        </w:rPr>
      </w:pPr>
      <w:bookmarkStart w:id="5" w:name="_Toc440976889"/>
      <w:r w:rsidRPr="00603F7D">
        <w:rPr>
          <w:u w:val="single"/>
        </w:rPr>
        <w:t>Article</w:t>
      </w:r>
      <w:r w:rsidR="00332FDA" w:rsidRPr="00603F7D">
        <w:rPr>
          <w:u w:val="single"/>
        </w:rPr>
        <w:t xml:space="preserve"> 6 : </w:t>
      </w:r>
      <w:r w:rsidRPr="00603F7D">
        <w:rPr>
          <w:u w:val="single"/>
        </w:rPr>
        <w:t>Opération de réception</w:t>
      </w:r>
      <w:bookmarkEnd w:id="5"/>
      <w:r w:rsidR="00332FDA" w:rsidRPr="00603F7D">
        <w:rPr>
          <w:u w:val="single"/>
        </w:rPr>
        <w:t xml:space="preserve"> </w:t>
      </w:r>
    </w:p>
    <w:p w:rsidR="00332FDA" w:rsidRPr="000A3EA1" w:rsidRDefault="00332FDA">
      <w:pPr>
        <w:jc w:val="both"/>
      </w:pPr>
    </w:p>
    <w:p w:rsidR="00332FDA" w:rsidRPr="000A3EA1" w:rsidRDefault="00332FDA">
      <w:pPr>
        <w:jc w:val="both"/>
        <w:rPr>
          <w:b/>
        </w:rPr>
      </w:pPr>
      <w:r w:rsidRPr="000A3EA1">
        <w:rPr>
          <w:b/>
        </w:rPr>
        <w:tab/>
        <w:t>6</w:t>
      </w:r>
      <w:r w:rsidRPr="000A3EA1">
        <w:rPr>
          <w:b/>
        </w:rPr>
        <w:noBreakHyphen/>
        <w:t xml:space="preserve">1 : </w:t>
      </w:r>
      <w:r w:rsidR="00603F7D" w:rsidRPr="000A3EA1">
        <w:rPr>
          <w:b/>
        </w:rPr>
        <w:t>Vérification et réception</w:t>
      </w:r>
    </w:p>
    <w:p w:rsidR="00332FDA" w:rsidRPr="000A3EA1" w:rsidRDefault="00332FDA">
      <w:pPr>
        <w:jc w:val="both"/>
        <w:rPr>
          <w:b/>
        </w:rPr>
      </w:pPr>
    </w:p>
    <w:p w:rsidR="00332FDA" w:rsidRPr="000A3EA1" w:rsidRDefault="00332FDA">
      <w:pPr>
        <w:jc w:val="both"/>
      </w:pPr>
      <w:r w:rsidRPr="000A3EA1">
        <w:t xml:space="preserve">Les vérifications de qualité et de quantité, puis la réception seront effectuées par les personnes habilitées du lycée. </w:t>
      </w:r>
    </w:p>
    <w:p w:rsidR="00332FDA" w:rsidRPr="000A3EA1" w:rsidRDefault="00332FDA">
      <w:pPr>
        <w:jc w:val="both"/>
      </w:pPr>
    </w:p>
    <w:p w:rsidR="00332FDA" w:rsidRPr="000A3EA1" w:rsidRDefault="00332FDA">
      <w:pPr>
        <w:jc w:val="both"/>
      </w:pPr>
      <w:r w:rsidRPr="000A3EA1">
        <w:tab/>
      </w:r>
      <w:r w:rsidRPr="000A3EA1">
        <w:rPr>
          <w:b/>
        </w:rPr>
        <w:t>a) Vérification qualitative non conforme</w:t>
      </w:r>
    </w:p>
    <w:p w:rsidR="00332FDA" w:rsidRPr="000A3EA1" w:rsidRDefault="00332FDA">
      <w:pPr>
        <w:jc w:val="both"/>
      </w:pPr>
    </w:p>
    <w:p w:rsidR="00332FDA" w:rsidRPr="000A3EA1" w:rsidRDefault="00332FDA">
      <w:pPr>
        <w:jc w:val="both"/>
      </w:pPr>
      <w:r w:rsidRPr="000A3EA1">
        <w:t>Si la fourniture ne correspond pas qualitativement aux spécifications du marché, ou à la commande régulièrement passée dans les conditions prévues au présent C.C.P., Ia personne responsable ou son représentant habilitée pourra</w:t>
      </w:r>
      <w:r w:rsidR="007F2578" w:rsidRPr="000A3EA1">
        <w:t xml:space="preserve"> </w:t>
      </w:r>
      <w:r w:rsidRPr="000A3EA1">
        <w:t xml:space="preserve">: </w:t>
      </w:r>
    </w:p>
    <w:p w:rsidR="00332FDA" w:rsidRPr="000A3EA1" w:rsidRDefault="00332FDA">
      <w:pPr>
        <w:jc w:val="both"/>
      </w:pPr>
    </w:p>
    <w:p w:rsidR="00332FDA" w:rsidRPr="000A3EA1" w:rsidRDefault="00546D5C">
      <w:pPr>
        <w:jc w:val="both"/>
      </w:pPr>
      <w:r w:rsidRPr="000A3EA1">
        <w:tab/>
        <w:t xml:space="preserve">- </w:t>
      </w:r>
      <w:r w:rsidR="00332FDA" w:rsidRPr="000A3EA1">
        <w:t xml:space="preserve">soit la refuser; elle sera immédiatement remplacée, sur mise en demeure verbale du titulaire, </w:t>
      </w:r>
    </w:p>
    <w:p w:rsidR="00332FDA" w:rsidRPr="000A3EA1" w:rsidRDefault="00546D5C">
      <w:pPr>
        <w:jc w:val="both"/>
      </w:pPr>
      <w:r w:rsidRPr="000A3EA1">
        <w:tab/>
        <w:t xml:space="preserve">- </w:t>
      </w:r>
      <w:r w:rsidR="00332FDA" w:rsidRPr="000A3EA1">
        <w:t xml:space="preserve">soit l'accepter avec réfaction du prix, déterminée d'un commun accord, le défaut d'accord entraînant le rejet de la fourniture. </w:t>
      </w:r>
    </w:p>
    <w:p w:rsidR="00332FDA" w:rsidRPr="000A3EA1" w:rsidRDefault="00332FDA">
      <w:pPr>
        <w:jc w:val="both"/>
      </w:pPr>
    </w:p>
    <w:p w:rsidR="00332FDA" w:rsidRPr="000A3EA1" w:rsidRDefault="00332FDA">
      <w:pPr>
        <w:jc w:val="both"/>
        <w:rPr>
          <w:b/>
        </w:rPr>
      </w:pPr>
      <w:r w:rsidRPr="000A3EA1">
        <w:tab/>
      </w:r>
      <w:r w:rsidRPr="000A3EA1">
        <w:rPr>
          <w:b/>
        </w:rPr>
        <w:t>b) Vérification quantitative non conforme</w:t>
      </w:r>
    </w:p>
    <w:p w:rsidR="00332FDA" w:rsidRPr="000A3EA1" w:rsidRDefault="00332FDA">
      <w:pPr>
        <w:jc w:val="both"/>
      </w:pPr>
    </w:p>
    <w:p w:rsidR="00332FDA" w:rsidRPr="000A3EA1" w:rsidRDefault="00332FDA">
      <w:pPr>
        <w:jc w:val="both"/>
      </w:pPr>
      <w:r w:rsidRPr="000A3EA1">
        <w:t xml:space="preserve">Si la quantité livrée n'est pas conforme à la commande, le lycée pourra mettre le titulaire en demeure : </w:t>
      </w:r>
    </w:p>
    <w:p w:rsidR="00332FDA" w:rsidRPr="000A3EA1" w:rsidRDefault="00332FDA">
      <w:pPr>
        <w:jc w:val="both"/>
      </w:pPr>
    </w:p>
    <w:p w:rsidR="00332FDA" w:rsidRPr="000A3EA1" w:rsidRDefault="00332FDA" w:rsidP="00546D5C">
      <w:pPr>
        <w:pStyle w:val="Paragraphedeliste"/>
        <w:numPr>
          <w:ilvl w:val="0"/>
          <w:numId w:val="1"/>
        </w:numPr>
        <w:jc w:val="both"/>
      </w:pPr>
      <w:r w:rsidRPr="000A3EA1">
        <w:t xml:space="preserve">soit de reprendre immédiatement l'excédent, si la livraison dépasse la commande, </w:t>
      </w:r>
    </w:p>
    <w:p w:rsidR="00332FDA" w:rsidRPr="000A3EA1" w:rsidRDefault="00332FDA" w:rsidP="00546D5C">
      <w:pPr>
        <w:pStyle w:val="Paragraphedeliste"/>
        <w:numPr>
          <w:ilvl w:val="0"/>
          <w:numId w:val="1"/>
        </w:numPr>
        <w:jc w:val="both"/>
      </w:pPr>
      <w:r w:rsidRPr="000A3EA1">
        <w:t xml:space="preserve">soit de compléter la livraison, dans le cas contraire, dans les délais qui lui seront prescrits à concurrence de la quantité totale prévue par le bon de commande </w:t>
      </w:r>
    </w:p>
    <w:p w:rsidR="00332FDA" w:rsidRPr="000A3EA1" w:rsidRDefault="00332FDA">
      <w:pPr>
        <w:jc w:val="both"/>
      </w:pPr>
    </w:p>
    <w:p w:rsidR="00332FDA" w:rsidRPr="000A3EA1" w:rsidRDefault="00332FDA">
      <w:pPr>
        <w:jc w:val="both"/>
      </w:pPr>
      <w:r w:rsidRPr="000A3EA1">
        <w:t xml:space="preserve">En cas de non conformité entre la fourniture livrée et le bulletin de livraison, ledit bulletin et son duplicata seront rectifiés, sous la signature des deux parties ou de leurs représentants. </w:t>
      </w:r>
    </w:p>
    <w:p w:rsidR="00332FDA" w:rsidRPr="000A3EA1" w:rsidRDefault="00332FDA">
      <w:pPr>
        <w:jc w:val="both"/>
      </w:pPr>
    </w:p>
    <w:p w:rsidR="00332FDA" w:rsidRPr="000A3EA1" w:rsidRDefault="00332FDA">
      <w:pPr>
        <w:jc w:val="both"/>
      </w:pPr>
      <w:r w:rsidRPr="000A3EA1">
        <w:t xml:space="preserve">La réception des fournitures sera prononcée par les personnes habilitées du lycée. </w:t>
      </w:r>
    </w:p>
    <w:p w:rsidR="00332FDA" w:rsidRPr="000A3EA1" w:rsidRDefault="00332FDA">
      <w:pPr>
        <w:jc w:val="both"/>
      </w:pPr>
    </w:p>
    <w:p w:rsidR="00332FDA" w:rsidRPr="000A3EA1" w:rsidRDefault="00332FDA">
      <w:pPr>
        <w:jc w:val="both"/>
      </w:pPr>
      <w:r w:rsidRPr="000A3EA1">
        <w:tab/>
      </w:r>
      <w:r w:rsidRPr="000A3EA1">
        <w:rPr>
          <w:b/>
        </w:rPr>
        <w:t>6</w:t>
      </w:r>
      <w:r w:rsidRPr="000A3EA1">
        <w:rPr>
          <w:b/>
        </w:rPr>
        <w:noBreakHyphen/>
        <w:t xml:space="preserve">2 : </w:t>
      </w:r>
      <w:r w:rsidR="00603F7D" w:rsidRPr="000A3EA1">
        <w:rPr>
          <w:b/>
        </w:rPr>
        <w:t>Qualité et spécifications techniques</w:t>
      </w:r>
    </w:p>
    <w:p w:rsidR="0083794F" w:rsidRDefault="0083794F">
      <w:pPr>
        <w:jc w:val="both"/>
      </w:pPr>
    </w:p>
    <w:p w:rsidR="0083794F" w:rsidRPr="0083794F" w:rsidRDefault="0083794F">
      <w:pPr>
        <w:jc w:val="both"/>
        <w:rPr>
          <w:b/>
          <w:u w:val="single"/>
        </w:rPr>
      </w:pPr>
      <w:r>
        <w:rPr>
          <w:b/>
          <w:u w:val="single"/>
        </w:rPr>
        <w:t>Type</w:t>
      </w:r>
    </w:p>
    <w:p w:rsidR="0083794F" w:rsidRPr="0083794F" w:rsidRDefault="0083794F" w:rsidP="0083794F">
      <w:pPr>
        <w:jc w:val="both"/>
        <w:rPr>
          <w:sz w:val="18"/>
          <w:szCs w:val="18"/>
        </w:rPr>
      </w:pPr>
      <w:r w:rsidRPr="0083794F">
        <w:rPr>
          <w:sz w:val="18"/>
          <w:szCs w:val="18"/>
        </w:rPr>
        <w:t>Le recensement porte sur la fourniture de papier xérographique 80g blanc ou couleur, machine à poudre en format A4 ou A3.</w:t>
      </w:r>
    </w:p>
    <w:p w:rsidR="0083794F" w:rsidRDefault="0083794F">
      <w:pPr>
        <w:jc w:val="both"/>
      </w:pPr>
    </w:p>
    <w:p w:rsidR="0083794F" w:rsidRPr="0083794F" w:rsidRDefault="0083794F">
      <w:pPr>
        <w:jc w:val="both"/>
        <w:rPr>
          <w:b/>
          <w:u w:val="single"/>
        </w:rPr>
      </w:pPr>
      <w:r w:rsidRPr="0083794F">
        <w:rPr>
          <w:b/>
          <w:u w:val="single"/>
        </w:rPr>
        <w:lastRenderedPageBreak/>
        <w:t>Norme</w:t>
      </w:r>
      <w:r>
        <w:rPr>
          <w:b/>
          <w:u w:val="single"/>
        </w:rPr>
        <w:t>s</w:t>
      </w:r>
    </w:p>
    <w:p w:rsidR="00332FDA" w:rsidRPr="000A3EA1" w:rsidRDefault="00332FDA">
      <w:pPr>
        <w:jc w:val="both"/>
      </w:pPr>
    </w:p>
    <w:p w:rsidR="007F2578" w:rsidRPr="000A3EA1" w:rsidRDefault="00332FDA">
      <w:pPr>
        <w:jc w:val="both"/>
      </w:pPr>
      <w:r w:rsidRPr="000A3EA1">
        <w:t xml:space="preserve">La fourniture demandée répondra aux spécifications </w:t>
      </w:r>
      <w:r w:rsidR="007F2578" w:rsidRPr="000A3EA1">
        <w:t xml:space="preserve">minimales </w:t>
      </w:r>
      <w:r w:rsidRPr="000A3EA1">
        <w:t xml:space="preserve">mentionnées </w:t>
      </w:r>
      <w:r w:rsidR="007F2578" w:rsidRPr="000A3EA1">
        <w:t>ci-après</w:t>
      </w:r>
      <w:r w:rsidRPr="000A3EA1">
        <w:t xml:space="preserve"> :</w:t>
      </w:r>
    </w:p>
    <w:p w:rsidR="00332FDA" w:rsidRPr="000A3EA1" w:rsidRDefault="00332FDA">
      <w:pPr>
        <w:jc w:val="both"/>
      </w:pPr>
    </w:p>
    <w:tbl>
      <w:tblPr>
        <w:tblStyle w:val="Grilledutableau"/>
        <w:tblW w:w="0" w:type="auto"/>
        <w:tblLook w:val="04A0"/>
      </w:tblPr>
      <w:tblGrid>
        <w:gridCol w:w="2444"/>
        <w:gridCol w:w="2230"/>
        <w:gridCol w:w="2261"/>
        <w:gridCol w:w="2353"/>
      </w:tblGrid>
      <w:tr w:rsidR="007F2578" w:rsidRPr="0083794F" w:rsidTr="007F2578">
        <w:trPr>
          <w:trHeight w:val="454"/>
        </w:trPr>
        <w:tc>
          <w:tcPr>
            <w:tcW w:w="2444" w:type="dxa"/>
            <w:vAlign w:val="center"/>
          </w:tcPr>
          <w:p w:rsidR="007F2578" w:rsidRPr="0083794F" w:rsidRDefault="007F2578" w:rsidP="007F2578">
            <w:pPr>
              <w:jc w:val="center"/>
              <w:rPr>
                <w:sz w:val="22"/>
                <w:szCs w:val="22"/>
              </w:rPr>
            </w:pPr>
          </w:p>
        </w:tc>
        <w:tc>
          <w:tcPr>
            <w:tcW w:w="2230" w:type="dxa"/>
            <w:vAlign w:val="center"/>
          </w:tcPr>
          <w:p w:rsidR="007F2578" w:rsidRPr="0083794F" w:rsidRDefault="007F2578" w:rsidP="007F2578">
            <w:pPr>
              <w:jc w:val="center"/>
              <w:rPr>
                <w:sz w:val="22"/>
                <w:szCs w:val="22"/>
              </w:rPr>
            </w:pPr>
            <w:r w:rsidRPr="0083794F">
              <w:rPr>
                <w:sz w:val="22"/>
                <w:szCs w:val="22"/>
              </w:rPr>
              <w:t>NORME</w:t>
            </w:r>
          </w:p>
        </w:tc>
        <w:tc>
          <w:tcPr>
            <w:tcW w:w="2261" w:type="dxa"/>
            <w:vAlign w:val="center"/>
          </w:tcPr>
          <w:p w:rsidR="007F2578" w:rsidRPr="0083794F" w:rsidRDefault="007F2578" w:rsidP="007F2578">
            <w:pPr>
              <w:jc w:val="center"/>
              <w:rPr>
                <w:sz w:val="22"/>
                <w:szCs w:val="22"/>
              </w:rPr>
            </w:pPr>
            <w:r w:rsidRPr="0083794F">
              <w:rPr>
                <w:sz w:val="22"/>
                <w:szCs w:val="22"/>
              </w:rPr>
              <w:t>UNITE</w:t>
            </w:r>
          </w:p>
        </w:tc>
        <w:tc>
          <w:tcPr>
            <w:tcW w:w="2353" w:type="dxa"/>
            <w:vAlign w:val="center"/>
          </w:tcPr>
          <w:p w:rsidR="007F2578" w:rsidRPr="0083794F" w:rsidRDefault="007F2578" w:rsidP="007F2578">
            <w:pPr>
              <w:jc w:val="center"/>
              <w:rPr>
                <w:sz w:val="22"/>
                <w:szCs w:val="22"/>
              </w:rPr>
            </w:pPr>
            <w:r w:rsidRPr="0083794F">
              <w:rPr>
                <w:sz w:val="22"/>
                <w:szCs w:val="22"/>
              </w:rPr>
              <w:t>VALEUR</w:t>
            </w:r>
          </w:p>
        </w:tc>
      </w:tr>
      <w:tr w:rsidR="007F2578" w:rsidRPr="0083794F" w:rsidTr="007F2578">
        <w:trPr>
          <w:trHeight w:val="454"/>
        </w:trPr>
        <w:tc>
          <w:tcPr>
            <w:tcW w:w="2444" w:type="dxa"/>
            <w:vAlign w:val="center"/>
          </w:tcPr>
          <w:p w:rsidR="007F2578" w:rsidRPr="0083794F" w:rsidRDefault="007F2578" w:rsidP="007F2578">
            <w:pPr>
              <w:jc w:val="both"/>
              <w:rPr>
                <w:sz w:val="22"/>
                <w:szCs w:val="22"/>
              </w:rPr>
            </w:pPr>
            <w:r w:rsidRPr="0083794F">
              <w:rPr>
                <w:sz w:val="22"/>
                <w:szCs w:val="22"/>
              </w:rPr>
              <w:t xml:space="preserve">Grammage </w:t>
            </w:r>
          </w:p>
        </w:tc>
        <w:tc>
          <w:tcPr>
            <w:tcW w:w="2230" w:type="dxa"/>
            <w:vAlign w:val="center"/>
          </w:tcPr>
          <w:p w:rsidR="007F2578" w:rsidRPr="0083794F" w:rsidRDefault="007F2578" w:rsidP="007F2578">
            <w:pPr>
              <w:jc w:val="center"/>
              <w:rPr>
                <w:sz w:val="22"/>
                <w:szCs w:val="22"/>
              </w:rPr>
            </w:pPr>
            <w:r w:rsidRPr="0083794F">
              <w:rPr>
                <w:sz w:val="22"/>
                <w:szCs w:val="22"/>
              </w:rPr>
              <w:t>ISO 536</w:t>
            </w:r>
          </w:p>
        </w:tc>
        <w:tc>
          <w:tcPr>
            <w:tcW w:w="2261" w:type="dxa"/>
            <w:vAlign w:val="center"/>
          </w:tcPr>
          <w:p w:rsidR="007F2578" w:rsidRPr="0083794F" w:rsidRDefault="007F2578" w:rsidP="007F2578">
            <w:pPr>
              <w:jc w:val="center"/>
              <w:rPr>
                <w:sz w:val="22"/>
                <w:szCs w:val="22"/>
              </w:rPr>
            </w:pPr>
            <w:r w:rsidRPr="0083794F">
              <w:rPr>
                <w:sz w:val="22"/>
                <w:szCs w:val="22"/>
              </w:rPr>
              <w:t>g/m²</w:t>
            </w:r>
          </w:p>
        </w:tc>
        <w:tc>
          <w:tcPr>
            <w:tcW w:w="2353" w:type="dxa"/>
            <w:vAlign w:val="center"/>
          </w:tcPr>
          <w:p w:rsidR="007F2578" w:rsidRPr="0083794F" w:rsidRDefault="007F2578" w:rsidP="007F2578">
            <w:pPr>
              <w:jc w:val="center"/>
              <w:rPr>
                <w:sz w:val="22"/>
                <w:szCs w:val="22"/>
              </w:rPr>
            </w:pPr>
            <w:r w:rsidRPr="0083794F">
              <w:rPr>
                <w:sz w:val="22"/>
                <w:szCs w:val="22"/>
              </w:rPr>
              <w:t>80</w:t>
            </w:r>
          </w:p>
        </w:tc>
      </w:tr>
      <w:tr w:rsidR="007F2578" w:rsidRPr="0083794F" w:rsidTr="007F2578">
        <w:trPr>
          <w:trHeight w:val="454"/>
        </w:trPr>
        <w:tc>
          <w:tcPr>
            <w:tcW w:w="2444" w:type="dxa"/>
            <w:vAlign w:val="center"/>
          </w:tcPr>
          <w:p w:rsidR="007F2578" w:rsidRPr="0083794F" w:rsidRDefault="007F2578" w:rsidP="007F2578">
            <w:pPr>
              <w:jc w:val="both"/>
              <w:rPr>
                <w:sz w:val="22"/>
                <w:szCs w:val="22"/>
              </w:rPr>
            </w:pPr>
            <w:r w:rsidRPr="0083794F">
              <w:rPr>
                <w:sz w:val="22"/>
                <w:szCs w:val="22"/>
              </w:rPr>
              <w:t>Blancheur CIE</w:t>
            </w:r>
          </w:p>
        </w:tc>
        <w:tc>
          <w:tcPr>
            <w:tcW w:w="2230" w:type="dxa"/>
            <w:vAlign w:val="center"/>
          </w:tcPr>
          <w:p w:rsidR="007F2578" w:rsidRPr="0083794F" w:rsidRDefault="007F2578" w:rsidP="007F2578">
            <w:pPr>
              <w:jc w:val="center"/>
              <w:rPr>
                <w:sz w:val="22"/>
                <w:szCs w:val="22"/>
              </w:rPr>
            </w:pPr>
            <w:r w:rsidRPr="0083794F">
              <w:rPr>
                <w:sz w:val="22"/>
                <w:szCs w:val="22"/>
              </w:rPr>
              <w:t>ISO 11475</w:t>
            </w:r>
          </w:p>
        </w:tc>
        <w:tc>
          <w:tcPr>
            <w:tcW w:w="2261" w:type="dxa"/>
            <w:vAlign w:val="center"/>
          </w:tcPr>
          <w:p w:rsidR="007F2578" w:rsidRPr="0083794F" w:rsidRDefault="007F2578" w:rsidP="007F2578">
            <w:pPr>
              <w:jc w:val="center"/>
              <w:rPr>
                <w:sz w:val="22"/>
                <w:szCs w:val="22"/>
              </w:rPr>
            </w:pPr>
            <w:r w:rsidRPr="0083794F">
              <w:rPr>
                <w:sz w:val="22"/>
                <w:szCs w:val="22"/>
              </w:rPr>
              <w:t>CIE</w:t>
            </w:r>
          </w:p>
        </w:tc>
        <w:tc>
          <w:tcPr>
            <w:tcW w:w="2353" w:type="dxa"/>
            <w:vAlign w:val="center"/>
          </w:tcPr>
          <w:p w:rsidR="007F2578" w:rsidRPr="0083794F" w:rsidRDefault="007F2578" w:rsidP="007F2578">
            <w:pPr>
              <w:jc w:val="center"/>
              <w:rPr>
                <w:sz w:val="22"/>
                <w:szCs w:val="22"/>
              </w:rPr>
            </w:pPr>
            <w:r w:rsidRPr="0083794F">
              <w:rPr>
                <w:sz w:val="22"/>
                <w:szCs w:val="22"/>
              </w:rPr>
              <w:t>164</w:t>
            </w:r>
          </w:p>
        </w:tc>
      </w:tr>
      <w:tr w:rsidR="007F2578" w:rsidRPr="0083794F" w:rsidTr="007F2578">
        <w:trPr>
          <w:trHeight w:val="454"/>
        </w:trPr>
        <w:tc>
          <w:tcPr>
            <w:tcW w:w="2444" w:type="dxa"/>
            <w:vAlign w:val="center"/>
          </w:tcPr>
          <w:p w:rsidR="007F2578" w:rsidRPr="0083794F" w:rsidRDefault="007F2578" w:rsidP="007F2578">
            <w:pPr>
              <w:jc w:val="both"/>
              <w:rPr>
                <w:sz w:val="22"/>
                <w:szCs w:val="22"/>
              </w:rPr>
            </w:pPr>
            <w:r w:rsidRPr="0083794F">
              <w:rPr>
                <w:sz w:val="22"/>
                <w:szCs w:val="22"/>
              </w:rPr>
              <w:t xml:space="preserve">Opacité </w:t>
            </w:r>
          </w:p>
        </w:tc>
        <w:tc>
          <w:tcPr>
            <w:tcW w:w="2230" w:type="dxa"/>
            <w:vAlign w:val="center"/>
          </w:tcPr>
          <w:p w:rsidR="007F2578" w:rsidRPr="0083794F" w:rsidRDefault="007F2578" w:rsidP="007F2578">
            <w:pPr>
              <w:jc w:val="center"/>
              <w:rPr>
                <w:sz w:val="22"/>
                <w:szCs w:val="22"/>
              </w:rPr>
            </w:pPr>
            <w:r w:rsidRPr="0083794F">
              <w:rPr>
                <w:sz w:val="22"/>
                <w:szCs w:val="22"/>
              </w:rPr>
              <w:t>ISO 2471</w:t>
            </w:r>
          </w:p>
        </w:tc>
        <w:tc>
          <w:tcPr>
            <w:tcW w:w="2261" w:type="dxa"/>
            <w:vAlign w:val="center"/>
          </w:tcPr>
          <w:p w:rsidR="007F2578" w:rsidRPr="0083794F" w:rsidRDefault="007F2578" w:rsidP="007F2578">
            <w:pPr>
              <w:jc w:val="center"/>
              <w:rPr>
                <w:sz w:val="22"/>
                <w:szCs w:val="22"/>
              </w:rPr>
            </w:pPr>
            <w:r w:rsidRPr="0083794F">
              <w:rPr>
                <w:sz w:val="22"/>
                <w:szCs w:val="22"/>
              </w:rPr>
              <w:t>%</w:t>
            </w:r>
          </w:p>
        </w:tc>
        <w:tc>
          <w:tcPr>
            <w:tcW w:w="2353" w:type="dxa"/>
            <w:vAlign w:val="center"/>
          </w:tcPr>
          <w:p w:rsidR="007F2578" w:rsidRPr="0083794F" w:rsidRDefault="007F2578" w:rsidP="007F2578">
            <w:pPr>
              <w:jc w:val="center"/>
              <w:rPr>
                <w:sz w:val="22"/>
                <w:szCs w:val="22"/>
              </w:rPr>
            </w:pPr>
            <w:r w:rsidRPr="0083794F">
              <w:rPr>
                <w:sz w:val="22"/>
                <w:szCs w:val="22"/>
              </w:rPr>
              <w:t>92</w:t>
            </w:r>
          </w:p>
        </w:tc>
      </w:tr>
      <w:tr w:rsidR="007F2578" w:rsidRPr="0083794F" w:rsidTr="007F2578">
        <w:trPr>
          <w:trHeight w:val="454"/>
        </w:trPr>
        <w:tc>
          <w:tcPr>
            <w:tcW w:w="2444" w:type="dxa"/>
            <w:vAlign w:val="center"/>
          </w:tcPr>
          <w:p w:rsidR="007F2578" w:rsidRPr="0083794F" w:rsidRDefault="007F2578" w:rsidP="007F2578">
            <w:pPr>
              <w:jc w:val="both"/>
              <w:rPr>
                <w:sz w:val="22"/>
                <w:szCs w:val="22"/>
              </w:rPr>
            </w:pPr>
            <w:r w:rsidRPr="0083794F">
              <w:rPr>
                <w:sz w:val="22"/>
                <w:szCs w:val="22"/>
              </w:rPr>
              <w:t>Epaisseur</w:t>
            </w:r>
          </w:p>
        </w:tc>
        <w:tc>
          <w:tcPr>
            <w:tcW w:w="2230" w:type="dxa"/>
            <w:vAlign w:val="center"/>
          </w:tcPr>
          <w:p w:rsidR="007F2578" w:rsidRPr="0083794F" w:rsidRDefault="007F2578" w:rsidP="007F2578">
            <w:pPr>
              <w:jc w:val="center"/>
              <w:rPr>
                <w:sz w:val="22"/>
                <w:szCs w:val="22"/>
              </w:rPr>
            </w:pPr>
            <w:r w:rsidRPr="0083794F">
              <w:rPr>
                <w:sz w:val="22"/>
                <w:szCs w:val="22"/>
              </w:rPr>
              <w:t>ISO 534</w:t>
            </w:r>
          </w:p>
        </w:tc>
        <w:tc>
          <w:tcPr>
            <w:tcW w:w="2261" w:type="dxa"/>
            <w:vAlign w:val="center"/>
          </w:tcPr>
          <w:p w:rsidR="007F2578" w:rsidRPr="0083794F" w:rsidRDefault="007F2578" w:rsidP="007F2578">
            <w:pPr>
              <w:jc w:val="center"/>
              <w:rPr>
                <w:sz w:val="22"/>
                <w:szCs w:val="22"/>
              </w:rPr>
            </w:pPr>
            <w:r w:rsidRPr="0083794F">
              <w:rPr>
                <w:sz w:val="22"/>
                <w:szCs w:val="22"/>
              </w:rPr>
              <w:t>microns</w:t>
            </w:r>
          </w:p>
        </w:tc>
        <w:tc>
          <w:tcPr>
            <w:tcW w:w="2353" w:type="dxa"/>
            <w:vAlign w:val="center"/>
          </w:tcPr>
          <w:p w:rsidR="007F2578" w:rsidRPr="0083794F" w:rsidRDefault="007F2578" w:rsidP="007F2578">
            <w:pPr>
              <w:jc w:val="center"/>
              <w:rPr>
                <w:sz w:val="22"/>
                <w:szCs w:val="22"/>
              </w:rPr>
            </w:pPr>
            <w:r w:rsidRPr="0083794F">
              <w:rPr>
                <w:sz w:val="22"/>
                <w:szCs w:val="22"/>
              </w:rPr>
              <w:t>103</w:t>
            </w:r>
          </w:p>
        </w:tc>
      </w:tr>
    </w:tbl>
    <w:p w:rsidR="007F2578" w:rsidRPr="000A3EA1" w:rsidRDefault="007F2578">
      <w:pPr>
        <w:jc w:val="both"/>
      </w:pPr>
    </w:p>
    <w:p w:rsidR="00332FDA" w:rsidRPr="000A3EA1" w:rsidRDefault="00332FDA">
      <w:pPr>
        <w:jc w:val="both"/>
      </w:pPr>
    </w:p>
    <w:p w:rsidR="00332FDA" w:rsidRPr="000A3EA1" w:rsidRDefault="00332FDA">
      <w:pPr>
        <w:jc w:val="both"/>
        <w:rPr>
          <w:b/>
        </w:rPr>
      </w:pPr>
      <w:r w:rsidRPr="000A3EA1">
        <w:rPr>
          <w:b/>
        </w:rPr>
        <w:tab/>
        <w:t xml:space="preserve">6-3 : </w:t>
      </w:r>
      <w:r w:rsidR="00603F7D" w:rsidRPr="000A3EA1">
        <w:rPr>
          <w:b/>
        </w:rPr>
        <w:t>Présentation</w:t>
      </w:r>
    </w:p>
    <w:p w:rsidR="00332FDA" w:rsidRPr="000A3EA1" w:rsidRDefault="00332FDA">
      <w:pPr>
        <w:jc w:val="both"/>
      </w:pPr>
    </w:p>
    <w:p w:rsidR="0083794F" w:rsidRDefault="0083794F" w:rsidP="009B6846">
      <w:pPr>
        <w:jc w:val="both"/>
      </w:pPr>
      <w:r>
        <w:t>-</w:t>
      </w:r>
      <w:r w:rsidR="00332FDA" w:rsidRPr="000A3EA1">
        <w:t xml:space="preserve">Les paquets (cartons, boîtes) mentionneront d'une façon très précise et très apparente, les </w:t>
      </w:r>
      <w:r w:rsidR="007F2578" w:rsidRPr="000A3EA1">
        <w:t>caractéristiques du</w:t>
      </w:r>
      <w:r w:rsidR="00332FDA" w:rsidRPr="000A3EA1">
        <w:t xml:space="preserve"> papier livré, ainsi que le grammage et le nombre de feuilles (marquage sur tranche).</w:t>
      </w:r>
    </w:p>
    <w:p w:rsidR="00332FDA" w:rsidRPr="000A3EA1" w:rsidRDefault="0083794F" w:rsidP="009B6846">
      <w:pPr>
        <w:jc w:val="both"/>
      </w:pPr>
      <w:r>
        <w:t>-</w:t>
      </w:r>
      <w:r w:rsidR="00332FDA" w:rsidRPr="000A3EA1">
        <w:t xml:space="preserve">La fourniture sera strictement conforme à la marque, à la qualité de papier et la présentation correspondantes </w:t>
      </w:r>
      <w:r w:rsidR="007F2578" w:rsidRPr="000A3EA1">
        <w:t>fiches techniques fournies</w:t>
      </w:r>
      <w:r w:rsidR="00332FDA" w:rsidRPr="000A3EA1">
        <w:t xml:space="preserve">. </w:t>
      </w:r>
    </w:p>
    <w:p w:rsidR="003B02B2" w:rsidRPr="003B02B2" w:rsidRDefault="003B02B2" w:rsidP="003B02B2">
      <w:pPr>
        <w:overflowPunct/>
        <w:autoSpaceDE/>
        <w:autoSpaceDN/>
        <w:adjustRightInd/>
        <w:jc w:val="both"/>
        <w:textAlignment w:val="auto"/>
        <w:rPr>
          <w:color w:val="000000"/>
        </w:rPr>
      </w:pPr>
      <w:r>
        <w:rPr>
          <w:color w:val="000000"/>
        </w:rPr>
        <w:t xml:space="preserve">-Les </w:t>
      </w:r>
      <w:r w:rsidRPr="003B02B2">
        <w:rPr>
          <w:color w:val="000000"/>
        </w:rPr>
        <w:t>ramette</w:t>
      </w:r>
      <w:r>
        <w:rPr>
          <w:color w:val="000000"/>
        </w:rPr>
        <w:t xml:space="preserve">s contiennent </w:t>
      </w:r>
      <w:r w:rsidRPr="003B02B2">
        <w:rPr>
          <w:color w:val="000000"/>
        </w:rPr>
        <w:t xml:space="preserve">500 feuilles </w:t>
      </w:r>
      <w:r w:rsidRPr="003B02B2">
        <w:rPr>
          <w:color w:val="000000"/>
          <w:u w:val="single"/>
        </w:rPr>
        <w:t>pour machine à poudre</w:t>
      </w:r>
    </w:p>
    <w:p w:rsidR="007F2578" w:rsidRDefault="007F2578">
      <w:pPr>
        <w:jc w:val="both"/>
        <w:rPr>
          <w:rFonts w:ascii="Arial" w:hAnsi="Arial"/>
        </w:rPr>
      </w:pPr>
    </w:p>
    <w:p w:rsidR="00332FDA" w:rsidRPr="00480B66" w:rsidRDefault="00332FDA" w:rsidP="00603F7D">
      <w:pPr>
        <w:pStyle w:val="Titre3"/>
      </w:pPr>
      <w:bookmarkStart w:id="6" w:name="_Toc440976890"/>
      <w:r w:rsidRPr="00480B66">
        <w:rPr>
          <w:u w:val="single"/>
        </w:rPr>
        <w:t>A</w:t>
      </w:r>
      <w:r w:rsidR="00603F7D">
        <w:rPr>
          <w:u w:val="single"/>
        </w:rPr>
        <w:t>rticle</w:t>
      </w:r>
      <w:r w:rsidRPr="00480B66">
        <w:rPr>
          <w:u w:val="single"/>
        </w:rPr>
        <w:t xml:space="preserve"> 7</w:t>
      </w:r>
      <w:r w:rsidRPr="00480B66">
        <w:t xml:space="preserve"> :</w:t>
      </w:r>
      <w:r w:rsidR="00146D6A" w:rsidRPr="00480B66">
        <w:t xml:space="preserve"> </w:t>
      </w:r>
      <w:r w:rsidR="00603F7D">
        <w:t>Modalités d’établissement des prix</w:t>
      </w:r>
      <w:bookmarkEnd w:id="6"/>
    </w:p>
    <w:p w:rsidR="00332FDA" w:rsidRPr="000A3EA1" w:rsidRDefault="00332FDA">
      <w:pPr>
        <w:jc w:val="both"/>
        <w:rPr>
          <w:b/>
        </w:rPr>
      </w:pPr>
    </w:p>
    <w:p w:rsidR="00332FDA" w:rsidRPr="000A3EA1" w:rsidRDefault="00332FDA">
      <w:pPr>
        <w:jc w:val="both"/>
        <w:rPr>
          <w:b/>
        </w:rPr>
      </w:pPr>
      <w:r w:rsidRPr="000A3EA1">
        <w:rPr>
          <w:b/>
        </w:rPr>
        <w:tab/>
        <w:t>7-1 : Etablissement du prix</w:t>
      </w:r>
    </w:p>
    <w:p w:rsidR="00332FDA" w:rsidRDefault="00332FDA">
      <w:pPr>
        <w:jc w:val="both"/>
        <w:rPr>
          <w:b/>
        </w:rPr>
      </w:pPr>
    </w:p>
    <w:p w:rsidR="0095692D" w:rsidRDefault="0095692D">
      <w:pPr>
        <w:jc w:val="both"/>
        <w:rPr>
          <w:b/>
        </w:rPr>
      </w:pPr>
      <w:r>
        <w:rPr>
          <w:b/>
        </w:rPr>
        <w:t>Caractère</w:t>
      </w:r>
    </w:p>
    <w:p w:rsidR="0095692D" w:rsidRPr="000A3EA1" w:rsidRDefault="0095692D" w:rsidP="0095692D">
      <w:pPr>
        <w:jc w:val="both"/>
      </w:pPr>
      <w:r w:rsidRPr="000A3EA1">
        <w:t xml:space="preserve">Les prix s'entendent toutes taxes comprises, emballages perdus, marchandises livrées franco, aux entrepôts de l'établissement destinataire. </w:t>
      </w:r>
      <w:r w:rsidR="00A13F83">
        <w:t xml:space="preserve">Il n’y aura pas donc de facturation annexe. </w:t>
      </w:r>
      <w:r w:rsidRPr="000A3EA1">
        <w:t>Toutefois, pour toute commande inférieure à 55 Euros HT, le fournisseur pourra, s'il le désire, facturer des frais de port. Ceux</w:t>
      </w:r>
      <w:r w:rsidRPr="000A3EA1">
        <w:noBreakHyphen/>
        <w:t xml:space="preserve">ci devront être mentionnés de façon précise sur le bordereau descriptif des prix. Les soumissions feront apparaître: </w:t>
      </w:r>
    </w:p>
    <w:p w:rsidR="0095692D" w:rsidRPr="000A3EA1" w:rsidRDefault="0095692D" w:rsidP="0095692D">
      <w:pPr>
        <w:jc w:val="both"/>
      </w:pPr>
    </w:p>
    <w:p w:rsidR="0095692D" w:rsidRPr="000A3EA1" w:rsidRDefault="0095692D" w:rsidP="0095692D">
      <w:pPr>
        <w:jc w:val="both"/>
      </w:pPr>
      <w:r w:rsidRPr="000A3EA1">
        <w:tab/>
      </w:r>
      <w:r w:rsidRPr="000A3EA1">
        <w:noBreakHyphen/>
        <w:t xml:space="preserve"> le prix hors T.V.A ;</w:t>
      </w:r>
    </w:p>
    <w:p w:rsidR="0095692D" w:rsidRPr="000A3EA1" w:rsidRDefault="0095692D" w:rsidP="0095692D">
      <w:pPr>
        <w:jc w:val="both"/>
      </w:pPr>
      <w:r w:rsidRPr="000A3EA1">
        <w:tab/>
      </w:r>
      <w:r w:rsidRPr="000A3EA1">
        <w:noBreakHyphen/>
        <w:t xml:space="preserve"> la T.V.A ;</w:t>
      </w:r>
    </w:p>
    <w:p w:rsidR="0095692D" w:rsidRPr="000A3EA1" w:rsidRDefault="0095692D" w:rsidP="0095692D">
      <w:pPr>
        <w:jc w:val="both"/>
      </w:pPr>
      <w:r w:rsidRPr="000A3EA1">
        <w:tab/>
      </w:r>
      <w:r w:rsidRPr="000A3EA1">
        <w:noBreakHyphen/>
        <w:t xml:space="preserve"> le prix T.T.C. </w:t>
      </w:r>
    </w:p>
    <w:p w:rsidR="0095692D" w:rsidRPr="000A3EA1" w:rsidRDefault="0095692D" w:rsidP="0095692D">
      <w:pPr>
        <w:jc w:val="both"/>
      </w:pPr>
    </w:p>
    <w:p w:rsidR="0095692D" w:rsidRPr="000A3EA1" w:rsidRDefault="0095692D">
      <w:pPr>
        <w:jc w:val="both"/>
        <w:rPr>
          <w:b/>
        </w:rPr>
      </w:pPr>
      <w:r>
        <w:rPr>
          <w:b/>
        </w:rPr>
        <w:t>Révision</w:t>
      </w:r>
      <w:r w:rsidR="00C11CFE">
        <w:rPr>
          <w:b/>
        </w:rPr>
        <w:t xml:space="preserve"> pour le lot n° 1 </w:t>
      </w:r>
    </w:p>
    <w:p w:rsidR="00372869" w:rsidRDefault="00372869">
      <w:pPr>
        <w:jc w:val="both"/>
      </w:pPr>
      <w:r>
        <w:t xml:space="preserve">Les prix sont fermes durant le premier exercice, et révisables, au cours des exercices reconduits. </w:t>
      </w:r>
    </w:p>
    <w:p w:rsidR="00372869" w:rsidRDefault="00372869">
      <w:pPr>
        <w:jc w:val="both"/>
      </w:pPr>
      <w:r>
        <w:t xml:space="preserve">P= Po X (0.15 + 0.85 X (0.30 S/So + 0.70 I/Io)) dans laquelle : </w:t>
      </w:r>
    </w:p>
    <w:p w:rsidR="00372869" w:rsidRDefault="00372869">
      <w:pPr>
        <w:jc w:val="both"/>
      </w:pPr>
      <w:r>
        <w:t xml:space="preserve">P = prix après révision Po = Prix initial hors taxe déterminé à la date S = Indice de prix de production de l'industrie française pour le marché français - Papiers journaux, papier à la main autres papiers, cartons - publié au B.M.S de l’INSEE (identifiant indice N° 001653819 sur le site de l’insee.fr), valeur connue au 1er jour du mois de facturation. </w:t>
      </w:r>
    </w:p>
    <w:p w:rsidR="00372869" w:rsidRDefault="00372869">
      <w:pPr>
        <w:jc w:val="both"/>
      </w:pPr>
      <w:r>
        <w:t xml:space="preserve">So = valeur de l’indice connue au premier jour du mois précédant la remise des offres. </w:t>
      </w:r>
    </w:p>
    <w:p w:rsidR="00372869" w:rsidRDefault="00372869">
      <w:pPr>
        <w:jc w:val="both"/>
      </w:pPr>
      <w:r>
        <w:t xml:space="preserve">I = Indice de l’ensemble des prix à la consommation pour le marché français, publiés au B.M.S de l’INSEE (indice N° </w:t>
      </w:r>
      <w:r w:rsidR="00420A77">
        <w:t>001763866</w:t>
      </w:r>
      <w:r>
        <w:t xml:space="preserve"> sur le site insee.fr), valeur connue au premier jour du mois de facturation. </w:t>
      </w:r>
    </w:p>
    <w:p w:rsidR="00F86737" w:rsidRPr="000A3EA1" w:rsidRDefault="00372869">
      <w:pPr>
        <w:jc w:val="both"/>
      </w:pPr>
      <w:r>
        <w:t>Io= valeur de l’indice connue au premier jour du mois précédant la remise des offres.</w:t>
      </w:r>
    </w:p>
    <w:p w:rsidR="00372869" w:rsidRDefault="00F86737">
      <w:pPr>
        <w:jc w:val="both"/>
      </w:pPr>
      <w:r w:rsidRPr="000A3EA1">
        <w:t xml:space="preserve">Pour déterminer le prix de règlement, l’élément de la  référence mentionnée ci-dessus à prendre en compte est celui du dernier mois connu. </w:t>
      </w:r>
    </w:p>
    <w:p w:rsidR="00F86737" w:rsidRPr="000A3EA1" w:rsidRDefault="00F86737">
      <w:pPr>
        <w:jc w:val="both"/>
      </w:pPr>
      <w:r w:rsidRPr="000A3EA1">
        <w:t xml:space="preserve">Le changement de référence ne sera </w:t>
      </w:r>
      <w:r w:rsidR="00BC65A7" w:rsidRPr="000A3EA1">
        <w:t>pris</w:t>
      </w:r>
      <w:r w:rsidRPr="000A3EA1">
        <w:t xml:space="preserve"> en compte que si la nouvelle référence a été dûment notifiée par lettre recommandée avec accusé de réception, un mois avant la date prévue pour l’ajustement</w:t>
      </w:r>
      <w:r w:rsidR="00372869">
        <w:t>.</w:t>
      </w:r>
    </w:p>
    <w:p w:rsidR="00F86737" w:rsidRDefault="0095692D">
      <w:pPr>
        <w:jc w:val="both"/>
      </w:pPr>
      <w:r w:rsidRPr="0095692D">
        <w:rPr>
          <w:b/>
        </w:rPr>
        <w:t xml:space="preserve">Attention : </w:t>
      </w:r>
      <w:r>
        <w:t>l’application de cette formule est exclusive et elle doit apparaitre dans le courrier du demandeur.</w:t>
      </w:r>
    </w:p>
    <w:p w:rsidR="0095692D" w:rsidRDefault="0095692D">
      <w:pPr>
        <w:jc w:val="both"/>
      </w:pPr>
    </w:p>
    <w:p w:rsidR="0095692D" w:rsidRPr="000A3EA1" w:rsidRDefault="0095692D">
      <w:pPr>
        <w:jc w:val="both"/>
      </w:pPr>
    </w:p>
    <w:p w:rsidR="00332FDA" w:rsidRPr="000A3EA1" w:rsidRDefault="00332FDA">
      <w:pPr>
        <w:jc w:val="both"/>
      </w:pPr>
      <w:r w:rsidRPr="000A3EA1">
        <w:rPr>
          <w:b/>
        </w:rPr>
        <w:tab/>
        <w:t xml:space="preserve">7-2 : Clause de sauvegarde : </w:t>
      </w:r>
    </w:p>
    <w:p w:rsidR="00332FDA" w:rsidRPr="000A3EA1" w:rsidRDefault="00332FDA">
      <w:pPr>
        <w:spacing w:line="240" w:lineRule="atLeast"/>
        <w:jc w:val="both"/>
      </w:pPr>
    </w:p>
    <w:p w:rsidR="00332FDA" w:rsidRPr="000A3EA1" w:rsidRDefault="00332FDA">
      <w:pPr>
        <w:spacing w:line="240" w:lineRule="atLeast"/>
        <w:jc w:val="both"/>
      </w:pPr>
      <w:r w:rsidRPr="000A3EA1">
        <w:t>Dans le cas où l'augmentation de prix conduirait à une variation du prix unitaire de base, supérieure à 3 %, le lycée  aura la possibilité de résilier, sans indemnité la partie non exécutée du marché.</w:t>
      </w:r>
    </w:p>
    <w:p w:rsidR="00332FDA" w:rsidRPr="000A3EA1" w:rsidRDefault="00332FDA">
      <w:pPr>
        <w:jc w:val="both"/>
      </w:pPr>
    </w:p>
    <w:p w:rsidR="00332FDA" w:rsidRPr="000A3EA1" w:rsidRDefault="00332FDA">
      <w:pPr>
        <w:jc w:val="both"/>
        <w:rPr>
          <w:b/>
        </w:rPr>
      </w:pPr>
      <w:r w:rsidRPr="000A3EA1">
        <w:rPr>
          <w:b/>
        </w:rPr>
        <w:tab/>
        <w:t>7-3 : Hypothèse de retour à la réglementation des prix</w:t>
      </w:r>
    </w:p>
    <w:p w:rsidR="00332FDA" w:rsidRPr="000A3EA1" w:rsidRDefault="00332FDA">
      <w:pPr>
        <w:jc w:val="both"/>
      </w:pPr>
    </w:p>
    <w:p w:rsidR="00332FDA" w:rsidRPr="000A3EA1" w:rsidRDefault="00332FDA">
      <w:pPr>
        <w:jc w:val="both"/>
      </w:pPr>
      <w:r w:rsidRPr="000A3EA1">
        <w:t xml:space="preserve">Si au cours de la période d'exécution du marché le prix actuellement libre devient réglementé, le prix unitaire de la fourniture ne pourra être supérieur au prix officiel. </w:t>
      </w:r>
    </w:p>
    <w:p w:rsidR="00332FDA" w:rsidRPr="000A3EA1" w:rsidRDefault="00332FDA">
      <w:pPr>
        <w:jc w:val="both"/>
      </w:pPr>
    </w:p>
    <w:p w:rsidR="00332FDA" w:rsidRPr="000A3EA1" w:rsidRDefault="00332FDA">
      <w:pPr>
        <w:jc w:val="both"/>
      </w:pPr>
      <w:r w:rsidRPr="000A3EA1">
        <w:lastRenderedPageBreak/>
        <w:t>Dans ce cas, I'ajustement interviendra par répercussion en valeur absolue des hausses autorisées ou des baisses imposées par la réglementation au stade de la production.</w:t>
      </w:r>
    </w:p>
    <w:p w:rsidR="00332FDA" w:rsidRPr="000A3EA1" w:rsidRDefault="00332FDA">
      <w:pPr>
        <w:jc w:val="both"/>
      </w:pPr>
    </w:p>
    <w:p w:rsidR="00332FDA" w:rsidRPr="00143573" w:rsidRDefault="00143573" w:rsidP="00143573">
      <w:pPr>
        <w:pStyle w:val="Titre3"/>
        <w:rPr>
          <w:u w:val="single"/>
        </w:rPr>
      </w:pPr>
      <w:bookmarkStart w:id="7" w:name="_Toc440976891"/>
      <w:r>
        <w:rPr>
          <w:u w:val="single"/>
        </w:rPr>
        <w:t>Article 8</w:t>
      </w:r>
      <w:r w:rsidR="00332FDA" w:rsidRPr="00143573">
        <w:rPr>
          <w:u w:val="single"/>
        </w:rPr>
        <w:t xml:space="preserve"> G</w:t>
      </w:r>
      <w:r>
        <w:rPr>
          <w:u w:val="single"/>
        </w:rPr>
        <w:t>arantie</w:t>
      </w:r>
      <w:bookmarkEnd w:id="7"/>
    </w:p>
    <w:p w:rsidR="00332FDA" w:rsidRPr="000A3EA1" w:rsidRDefault="00332FDA">
      <w:pPr>
        <w:jc w:val="both"/>
      </w:pPr>
    </w:p>
    <w:p w:rsidR="00332FDA" w:rsidRPr="000A3EA1" w:rsidRDefault="00332FDA">
      <w:pPr>
        <w:jc w:val="both"/>
      </w:pPr>
      <w:r w:rsidRPr="000A3EA1">
        <w:t>Conformément a</w:t>
      </w:r>
      <w:r w:rsidR="00586A5D" w:rsidRPr="000A3EA1">
        <w:t>ux prescriptions du chapitre 5</w:t>
      </w:r>
      <w:r w:rsidRPr="000A3EA1">
        <w:t xml:space="preserve"> du C.C.A.G., la fourniture est garantie contre tout vice de fabrication. </w:t>
      </w:r>
    </w:p>
    <w:p w:rsidR="00332FDA" w:rsidRPr="000A3EA1" w:rsidRDefault="00332FDA">
      <w:pPr>
        <w:jc w:val="both"/>
      </w:pPr>
    </w:p>
    <w:p w:rsidR="00332FDA" w:rsidRPr="00143573" w:rsidRDefault="00143573" w:rsidP="00143573">
      <w:pPr>
        <w:pStyle w:val="Titre3"/>
        <w:rPr>
          <w:u w:val="single"/>
        </w:rPr>
      </w:pPr>
      <w:bookmarkStart w:id="8" w:name="_Toc440976892"/>
      <w:r>
        <w:rPr>
          <w:u w:val="single"/>
        </w:rPr>
        <w:t>Article 9 Cautionnement</w:t>
      </w:r>
      <w:bookmarkEnd w:id="8"/>
    </w:p>
    <w:p w:rsidR="00332FDA" w:rsidRPr="000A3EA1" w:rsidRDefault="00332FDA">
      <w:pPr>
        <w:jc w:val="both"/>
      </w:pPr>
    </w:p>
    <w:p w:rsidR="00332FDA" w:rsidRPr="000A3EA1" w:rsidRDefault="00332FDA">
      <w:pPr>
        <w:jc w:val="both"/>
      </w:pPr>
      <w:r w:rsidRPr="000A3EA1">
        <w:t xml:space="preserve">Le titulaire est dispensé de la constitution d'un cautionnement. </w:t>
      </w:r>
    </w:p>
    <w:p w:rsidR="00332FDA" w:rsidRPr="000A3EA1" w:rsidRDefault="00332FDA">
      <w:pPr>
        <w:jc w:val="both"/>
      </w:pPr>
    </w:p>
    <w:p w:rsidR="00332FDA" w:rsidRPr="00143573" w:rsidRDefault="00143573" w:rsidP="00143573">
      <w:pPr>
        <w:pStyle w:val="Titre3"/>
        <w:rPr>
          <w:u w:val="single"/>
        </w:rPr>
      </w:pPr>
      <w:bookmarkStart w:id="9" w:name="_Toc440976893"/>
      <w:r>
        <w:rPr>
          <w:u w:val="single"/>
        </w:rPr>
        <w:t>Article 10 Avance forfaitaire</w:t>
      </w:r>
      <w:bookmarkEnd w:id="9"/>
    </w:p>
    <w:p w:rsidR="00332FDA" w:rsidRPr="000A3EA1" w:rsidRDefault="00332FDA">
      <w:pPr>
        <w:jc w:val="both"/>
      </w:pPr>
    </w:p>
    <w:p w:rsidR="00332FDA" w:rsidRPr="000A3EA1" w:rsidRDefault="00332FDA">
      <w:pPr>
        <w:jc w:val="both"/>
      </w:pPr>
      <w:r w:rsidRPr="000A3EA1">
        <w:t>Il</w:t>
      </w:r>
      <w:r w:rsidR="00754D96" w:rsidRPr="000A3EA1">
        <w:t xml:space="preserve"> peut être versé une avance de 5 %  si le marché dépasse 50.000 € HT et dure plus de deux mois. Le titulaire peut refuser le versement de cette avance.</w:t>
      </w:r>
    </w:p>
    <w:p w:rsidR="00332FDA" w:rsidRPr="000A3EA1" w:rsidRDefault="00332FDA">
      <w:pPr>
        <w:jc w:val="both"/>
      </w:pPr>
    </w:p>
    <w:p w:rsidR="00332FDA" w:rsidRPr="00143573" w:rsidRDefault="00143573" w:rsidP="00143573">
      <w:pPr>
        <w:pStyle w:val="Titre3"/>
        <w:rPr>
          <w:u w:val="single"/>
        </w:rPr>
      </w:pPr>
      <w:bookmarkStart w:id="10" w:name="_Toc440976894"/>
      <w:r>
        <w:rPr>
          <w:u w:val="single"/>
        </w:rPr>
        <w:t>Article 11</w:t>
      </w:r>
      <w:r w:rsidR="00332FDA" w:rsidRPr="00143573">
        <w:rPr>
          <w:u w:val="single"/>
        </w:rPr>
        <w:t xml:space="preserve"> : </w:t>
      </w:r>
      <w:r>
        <w:rPr>
          <w:u w:val="single"/>
        </w:rPr>
        <w:t>Acomptes et paiements partiels</w:t>
      </w:r>
      <w:bookmarkEnd w:id="10"/>
    </w:p>
    <w:p w:rsidR="00332FDA" w:rsidRPr="000A3EA1" w:rsidRDefault="00332FDA">
      <w:pPr>
        <w:jc w:val="both"/>
      </w:pPr>
    </w:p>
    <w:p w:rsidR="00332FDA" w:rsidRPr="000A3EA1" w:rsidRDefault="00332FDA">
      <w:pPr>
        <w:jc w:val="both"/>
      </w:pPr>
      <w:r w:rsidRPr="000A3EA1">
        <w:t xml:space="preserve">Pour mémoire. </w:t>
      </w:r>
    </w:p>
    <w:p w:rsidR="00332FDA" w:rsidRPr="000A3EA1" w:rsidRDefault="00332FDA">
      <w:pPr>
        <w:jc w:val="both"/>
      </w:pPr>
    </w:p>
    <w:p w:rsidR="00F61F25" w:rsidRPr="000A3EA1" w:rsidRDefault="00F61F25">
      <w:pPr>
        <w:jc w:val="both"/>
        <w:rPr>
          <w:b/>
          <w:u w:val="single"/>
        </w:rPr>
      </w:pPr>
    </w:p>
    <w:p w:rsidR="00332FDA" w:rsidRPr="00143573" w:rsidRDefault="00143573" w:rsidP="00143573">
      <w:pPr>
        <w:pStyle w:val="Titre3"/>
        <w:rPr>
          <w:u w:val="single"/>
        </w:rPr>
      </w:pPr>
      <w:bookmarkStart w:id="11" w:name="_Toc440976895"/>
      <w:r>
        <w:rPr>
          <w:u w:val="single"/>
        </w:rPr>
        <w:t>Article 12</w:t>
      </w:r>
      <w:r w:rsidR="001E03AC">
        <w:rPr>
          <w:u w:val="single"/>
        </w:rPr>
        <w:t xml:space="preserve"> : </w:t>
      </w:r>
      <w:r>
        <w:rPr>
          <w:u w:val="single"/>
        </w:rPr>
        <w:t>Paiement et établissement de la facture</w:t>
      </w:r>
      <w:bookmarkEnd w:id="11"/>
    </w:p>
    <w:p w:rsidR="00332FDA" w:rsidRPr="000A3EA1" w:rsidRDefault="00332FDA">
      <w:pPr>
        <w:jc w:val="both"/>
      </w:pPr>
    </w:p>
    <w:p w:rsidR="00332FDA" w:rsidRPr="000A3EA1" w:rsidRDefault="00332FDA">
      <w:pPr>
        <w:jc w:val="both"/>
      </w:pPr>
      <w:r w:rsidRPr="000A3EA1">
        <w:t xml:space="preserve">Les factures afférentes au paiement, seront établies en </w:t>
      </w:r>
      <w:r w:rsidRPr="000A3EA1">
        <w:rPr>
          <w:b/>
        </w:rPr>
        <w:t>un original et deux copies</w:t>
      </w:r>
      <w:r w:rsidRPr="000A3EA1">
        <w:t xml:space="preserve"> portant, outre les mentions légales ou réglement</w:t>
      </w:r>
      <w:r w:rsidR="00546D5C" w:rsidRPr="000A3EA1">
        <w:t xml:space="preserve">aires, les indications suivantes </w:t>
      </w:r>
      <w:r w:rsidRPr="000A3EA1">
        <w:t xml:space="preserve">: </w:t>
      </w:r>
    </w:p>
    <w:p w:rsidR="00332FDA" w:rsidRPr="000A3EA1" w:rsidRDefault="00332FDA">
      <w:pPr>
        <w:jc w:val="both"/>
      </w:pPr>
    </w:p>
    <w:p w:rsidR="00332FDA" w:rsidRPr="000A3EA1" w:rsidRDefault="005A7FCA" w:rsidP="00546D5C">
      <w:pPr>
        <w:pStyle w:val="Paragraphedeliste"/>
        <w:numPr>
          <w:ilvl w:val="0"/>
          <w:numId w:val="1"/>
        </w:numPr>
        <w:jc w:val="both"/>
      </w:pPr>
      <w:r w:rsidRPr="000A3EA1">
        <w:t>les nom</w:t>
      </w:r>
      <w:r w:rsidR="00332FDA" w:rsidRPr="000A3EA1">
        <w:t xml:space="preserve"> et adresse du créancier</w:t>
      </w:r>
    </w:p>
    <w:p w:rsidR="00332FDA" w:rsidRPr="000A3EA1" w:rsidRDefault="00332FDA" w:rsidP="00546D5C">
      <w:pPr>
        <w:pStyle w:val="Paragraphedeliste"/>
        <w:numPr>
          <w:ilvl w:val="0"/>
          <w:numId w:val="1"/>
        </w:numPr>
        <w:jc w:val="both"/>
      </w:pPr>
      <w:r w:rsidRPr="000A3EA1">
        <w:t>le numéro de son compte bancaire ou postal tel qu'il est précisé à l'acte d'engagement</w:t>
      </w:r>
    </w:p>
    <w:p w:rsidR="00332FDA" w:rsidRPr="000A3EA1" w:rsidRDefault="00332FDA" w:rsidP="00546D5C">
      <w:pPr>
        <w:pStyle w:val="Paragraphedeliste"/>
        <w:numPr>
          <w:ilvl w:val="0"/>
          <w:numId w:val="1"/>
        </w:numPr>
        <w:jc w:val="both"/>
      </w:pPr>
      <w:r w:rsidRPr="000A3EA1">
        <w:t>le numéro et la date du marché et de chaque avenant, ainsi que le cas échéant, le numéro et la date des bons de commande</w:t>
      </w:r>
    </w:p>
    <w:p w:rsidR="00332FDA" w:rsidRPr="000A3EA1" w:rsidRDefault="00332FDA" w:rsidP="00546D5C">
      <w:pPr>
        <w:pStyle w:val="Paragraphedeliste"/>
        <w:numPr>
          <w:ilvl w:val="0"/>
          <w:numId w:val="1"/>
        </w:numPr>
        <w:jc w:val="both"/>
      </w:pPr>
      <w:r w:rsidRPr="000A3EA1">
        <w:t>la fourniture livrée</w:t>
      </w:r>
    </w:p>
    <w:p w:rsidR="00332FDA" w:rsidRPr="000A3EA1" w:rsidRDefault="00332FDA" w:rsidP="00546D5C">
      <w:pPr>
        <w:pStyle w:val="Paragraphedeliste"/>
        <w:numPr>
          <w:ilvl w:val="0"/>
          <w:numId w:val="1"/>
        </w:numPr>
        <w:jc w:val="both"/>
      </w:pPr>
      <w:r w:rsidRPr="000A3EA1">
        <w:t>le montant hors TVA de la fourniture exécutée, éventuellement ajustée ou remis à jour</w:t>
      </w:r>
    </w:p>
    <w:p w:rsidR="00332FDA" w:rsidRPr="000A3EA1" w:rsidRDefault="00332FDA" w:rsidP="00546D5C">
      <w:pPr>
        <w:pStyle w:val="Paragraphedeliste"/>
        <w:numPr>
          <w:ilvl w:val="0"/>
          <w:numId w:val="1"/>
        </w:numPr>
        <w:jc w:val="both"/>
      </w:pPr>
      <w:r w:rsidRPr="000A3EA1">
        <w:t>le prix des prestations accessoires</w:t>
      </w:r>
    </w:p>
    <w:p w:rsidR="00332FDA" w:rsidRPr="000A3EA1" w:rsidRDefault="00332FDA" w:rsidP="00546D5C">
      <w:pPr>
        <w:pStyle w:val="Paragraphedeliste"/>
        <w:numPr>
          <w:ilvl w:val="0"/>
          <w:numId w:val="1"/>
        </w:numPr>
        <w:jc w:val="both"/>
      </w:pPr>
      <w:r w:rsidRPr="000A3EA1">
        <w:t>éventuellement, le rabais ou le coefficient</w:t>
      </w:r>
    </w:p>
    <w:p w:rsidR="00332FDA" w:rsidRPr="000A3EA1" w:rsidRDefault="00332FDA" w:rsidP="00546D5C">
      <w:pPr>
        <w:pStyle w:val="Paragraphedeliste"/>
        <w:numPr>
          <w:ilvl w:val="0"/>
          <w:numId w:val="1"/>
        </w:numPr>
        <w:jc w:val="both"/>
      </w:pPr>
      <w:r w:rsidRPr="000A3EA1">
        <w:t>le taux et le montant de la TVA</w:t>
      </w:r>
    </w:p>
    <w:p w:rsidR="00332FDA" w:rsidRPr="000A3EA1" w:rsidRDefault="00332FDA" w:rsidP="00546D5C">
      <w:pPr>
        <w:pStyle w:val="Paragraphedeliste"/>
        <w:numPr>
          <w:ilvl w:val="0"/>
          <w:numId w:val="1"/>
        </w:numPr>
        <w:jc w:val="both"/>
      </w:pPr>
      <w:r w:rsidRPr="000A3EA1">
        <w:t>le montant total des fournitures livrées</w:t>
      </w:r>
    </w:p>
    <w:p w:rsidR="00332FDA" w:rsidRPr="000A3EA1" w:rsidRDefault="00332FDA" w:rsidP="00546D5C">
      <w:pPr>
        <w:pStyle w:val="Paragraphedeliste"/>
        <w:numPr>
          <w:ilvl w:val="0"/>
          <w:numId w:val="1"/>
        </w:numPr>
        <w:jc w:val="both"/>
      </w:pPr>
      <w:r w:rsidRPr="000A3EA1">
        <w:t>la date.</w:t>
      </w:r>
    </w:p>
    <w:p w:rsidR="00332FDA" w:rsidRPr="000A3EA1" w:rsidRDefault="00332FDA">
      <w:pPr>
        <w:jc w:val="both"/>
      </w:pPr>
    </w:p>
    <w:p w:rsidR="00332FDA" w:rsidRPr="000A3EA1" w:rsidRDefault="00332FDA">
      <w:pPr>
        <w:jc w:val="both"/>
      </w:pPr>
      <w:r w:rsidRPr="000A3EA1">
        <w:t xml:space="preserve">Le paiement s'effectuera suivant les règles de la comptabilité publique (à savoir notamment après service fait), dans les conditions prévues </w:t>
      </w:r>
      <w:r w:rsidR="008C24C9" w:rsidRPr="000A3EA1">
        <w:t>aux chapitres 2 et 3 du</w:t>
      </w:r>
      <w:r w:rsidRPr="000A3EA1">
        <w:t xml:space="preserve"> C.C.A.G. visé à l'article 2 du présent Cahier des Clauses Particulières</w:t>
      </w:r>
      <w:r w:rsidR="008C24C9" w:rsidRPr="000A3EA1">
        <w:t>.</w:t>
      </w:r>
    </w:p>
    <w:p w:rsidR="00332FDA" w:rsidRPr="000A3EA1" w:rsidRDefault="00332FDA"/>
    <w:p w:rsidR="00332FDA" w:rsidRPr="000A3EA1" w:rsidRDefault="00332FDA">
      <w:r w:rsidRPr="000A3EA1">
        <w:t xml:space="preserve">Le comptable public assignataire chargé du paiement est l’agent comptable du lycée </w:t>
      </w:r>
      <w:r w:rsidR="00060BA9">
        <w:t>Antoine Bourdelle</w:t>
      </w:r>
      <w:r w:rsidRPr="000A3EA1">
        <w:t xml:space="preserve"> </w:t>
      </w:r>
    </w:p>
    <w:p w:rsidR="00332FDA" w:rsidRPr="000A3EA1" w:rsidRDefault="000D1D27" w:rsidP="000D1D27">
      <w:pPr>
        <w:jc w:val="both"/>
      </w:pPr>
      <w:r>
        <w:t xml:space="preserve">Le délai de paiement prévu au </w:t>
      </w:r>
      <w:r w:rsidRPr="00687EBE">
        <w:t>premier alinéa de l'article 37 de la loi du 28 janvier 2013 susvisée</w:t>
      </w:r>
      <w:r>
        <w:t xml:space="preserve"> est fixé à  trente jours</w:t>
      </w:r>
    </w:p>
    <w:p w:rsidR="00332FDA" w:rsidRPr="000A3EA1" w:rsidRDefault="00332FDA">
      <w:pPr>
        <w:jc w:val="both"/>
      </w:pPr>
      <w:r w:rsidRPr="000A3EA1">
        <w:t>Le défaut de paiemen</w:t>
      </w:r>
      <w:r w:rsidR="00586A5D" w:rsidRPr="000A3EA1">
        <w:t xml:space="preserve">t dans un délai de </w:t>
      </w:r>
      <w:r w:rsidR="000B443D" w:rsidRPr="000A3EA1">
        <w:t xml:space="preserve">trente </w:t>
      </w:r>
      <w:r w:rsidRPr="000A3EA1">
        <w:t>(</w:t>
      </w:r>
      <w:r w:rsidR="000B443D" w:rsidRPr="000A3EA1">
        <w:t>3</w:t>
      </w:r>
      <w:r w:rsidR="00586A5D" w:rsidRPr="000A3EA1">
        <w:t>0</w:t>
      </w:r>
      <w:r w:rsidRPr="000A3EA1">
        <w:t>) jours à compter de la date de réception de la facture (transmise après service fait) fait courir de plein droit et sans autre formalité, au bénéfice du titulaire, des intérêts moratoires qui sont calculés conformément aux dispositions de l'article 96 Code des Marchés Publics</w:t>
      </w:r>
      <w:r w:rsidR="00372869">
        <w:t>.</w:t>
      </w:r>
      <w:r w:rsidRPr="000A3EA1">
        <w:t xml:space="preserve"> </w:t>
      </w:r>
    </w:p>
    <w:p w:rsidR="00332FDA" w:rsidRPr="000A3EA1" w:rsidRDefault="00332FDA">
      <w:pPr>
        <w:jc w:val="both"/>
      </w:pPr>
      <w:r w:rsidRPr="000A3EA1">
        <w:t>L'intérêt de retard sera calculé sur le montant des somm</w:t>
      </w:r>
      <w:r w:rsidR="00874407" w:rsidRPr="000A3EA1">
        <w:t>es dues à un taux supérieur de 7</w:t>
      </w:r>
      <w:r w:rsidRPr="000A3EA1">
        <w:t xml:space="preserve"> points au taux d'intérêt des obligations cautionnées. </w:t>
      </w:r>
    </w:p>
    <w:p w:rsidR="000D1D27" w:rsidRPr="005A5396" w:rsidRDefault="000D1D27" w:rsidP="000D1D27">
      <w:pPr>
        <w:rPr>
          <w:i/>
        </w:rPr>
      </w:pPr>
      <w:r w:rsidRPr="005A5396">
        <w:rPr>
          <w:rStyle w:val="lev"/>
          <w:i/>
        </w:rPr>
        <w:t>Décret n° 2013-269 du 29 mars 2013 relatif à la lutte contre les retards de paiement dans les contrats de la commande publique</w:t>
      </w:r>
    </w:p>
    <w:p w:rsidR="00332FDA" w:rsidRPr="000A3EA1" w:rsidRDefault="00332FDA">
      <w:pPr>
        <w:jc w:val="both"/>
      </w:pPr>
    </w:p>
    <w:p w:rsidR="00332FDA" w:rsidRPr="00143573" w:rsidRDefault="00143573" w:rsidP="00143573">
      <w:pPr>
        <w:pStyle w:val="Titre3"/>
        <w:rPr>
          <w:u w:val="single"/>
        </w:rPr>
      </w:pPr>
      <w:bookmarkStart w:id="12" w:name="_Toc440976896"/>
      <w:r>
        <w:rPr>
          <w:u w:val="single"/>
        </w:rPr>
        <w:t>Article 13</w:t>
      </w:r>
      <w:r w:rsidR="00CB1852">
        <w:rPr>
          <w:u w:val="single"/>
        </w:rPr>
        <w:t xml:space="preserve"> : </w:t>
      </w:r>
      <w:r>
        <w:rPr>
          <w:u w:val="single"/>
        </w:rPr>
        <w:t>Pénalités de retard</w:t>
      </w:r>
      <w:bookmarkEnd w:id="12"/>
    </w:p>
    <w:p w:rsidR="00332FDA" w:rsidRDefault="00332FDA">
      <w:pPr>
        <w:jc w:val="both"/>
      </w:pPr>
    </w:p>
    <w:p w:rsidR="0083794F" w:rsidRDefault="0083794F">
      <w:pPr>
        <w:jc w:val="both"/>
      </w:pPr>
    </w:p>
    <w:p w:rsidR="0083794F" w:rsidRPr="0083794F" w:rsidRDefault="0083794F" w:rsidP="0083794F">
      <w:pPr>
        <w:ind w:firstLine="708"/>
        <w:jc w:val="both"/>
        <w:rPr>
          <w:b/>
        </w:rPr>
      </w:pPr>
      <w:r w:rsidRPr="0083794F">
        <w:rPr>
          <w:b/>
        </w:rPr>
        <w:t>13.1 Pénalités</w:t>
      </w:r>
    </w:p>
    <w:p w:rsidR="009B2846" w:rsidRPr="009B2846" w:rsidRDefault="009B2846" w:rsidP="009B2846">
      <w:pPr>
        <w:pStyle w:val="Default"/>
        <w:rPr>
          <w:color w:val="auto"/>
          <w:sz w:val="20"/>
          <w:szCs w:val="20"/>
        </w:rPr>
      </w:pPr>
      <w:r w:rsidRPr="009B2846">
        <w:rPr>
          <w:color w:val="auto"/>
          <w:sz w:val="20"/>
          <w:szCs w:val="20"/>
        </w:rPr>
        <w:t xml:space="preserve">Les pénalités pour retard commencent à courir, sans qu’il soit nécessaire de procéder à une mise en demeure, le lendemain du jour où le délai contractuel d’exécution des prestations est expiré, Cette pénalité est calculée par application de la formule suivante : </w:t>
      </w:r>
    </w:p>
    <w:p w:rsidR="009B2846" w:rsidRPr="009B2846" w:rsidRDefault="00A13F83" w:rsidP="009B2846">
      <w:pPr>
        <w:pStyle w:val="Default"/>
        <w:jc w:val="center"/>
        <w:rPr>
          <w:color w:val="auto"/>
          <w:sz w:val="20"/>
          <w:szCs w:val="20"/>
        </w:rPr>
      </w:pPr>
      <w:r>
        <w:rPr>
          <w:color w:val="auto"/>
          <w:sz w:val="20"/>
          <w:szCs w:val="20"/>
        </w:rPr>
        <w:t>P = V * R / 250</w:t>
      </w:r>
      <w:r w:rsidR="009B2846" w:rsidRPr="009B2846">
        <w:rPr>
          <w:color w:val="auto"/>
          <w:sz w:val="20"/>
          <w:szCs w:val="20"/>
        </w:rPr>
        <w:t xml:space="preserve"> ; </w:t>
      </w:r>
    </w:p>
    <w:p w:rsidR="009B2846" w:rsidRPr="009B2846" w:rsidRDefault="009B2846" w:rsidP="009B2846">
      <w:pPr>
        <w:pStyle w:val="Default"/>
        <w:rPr>
          <w:color w:val="auto"/>
          <w:sz w:val="20"/>
          <w:szCs w:val="20"/>
        </w:rPr>
      </w:pPr>
      <w:r w:rsidRPr="009B2846">
        <w:rPr>
          <w:color w:val="auto"/>
          <w:sz w:val="20"/>
          <w:szCs w:val="20"/>
        </w:rPr>
        <w:t xml:space="preserve">Dans laquelle : </w:t>
      </w:r>
    </w:p>
    <w:p w:rsidR="009B2846" w:rsidRPr="009B2846" w:rsidRDefault="009B2846" w:rsidP="009B2846">
      <w:pPr>
        <w:pStyle w:val="Default"/>
        <w:rPr>
          <w:color w:val="auto"/>
          <w:sz w:val="20"/>
          <w:szCs w:val="20"/>
        </w:rPr>
      </w:pPr>
      <w:r w:rsidRPr="009B2846">
        <w:rPr>
          <w:color w:val="auto"/>
          <w:sz w:val="20"/>
          <w:szCs w:val="20"/>
        </w:rPr>
        <w:lastRenderedPageBreak/>
        <w:t xml:space="preserve">P = le montant de la pénalité ; </w:t>
      </w:r>
    </w:p>
    <w:p w:rsidR="009B2846" w:rsidRPr="009B2846" w:rsidRDefault="009B2846" w:rsidP="009B2846">
      <w:pPr>
        <w:pStyle w:val="Default"/>
        <w:rPr>
          <w:color w:val="auto"/>
          <w:sz w:val="20"/>
          <w:szCs w:val="20"/>
        </w:rPr>
      </w:pPr>
      <w:r w:rsidRPr="009B2846">
        <w:rPr>
          <w:color w:val="auto"/>
          <w:sz w:val="20"/>
          <w:szCs w:val="20"/>
        </w:rPr>
        <w:t xml:space="preserve">V = la valeur des prestations sur laquelle est calculée la pénalité, cette valeur étant égale au montant en prix de base, </w:t>
      </w:r>
    </w:p>
    <w:p w:rsidR="009B2846" w:rsidRPr="009B2846" w:rsidRDefault="009B2846" w:rsidP="009B2846">
      <w:pPr>
        <w:pStyle w:val="Default"/>
        <w:rPr>
          <w:color w:val="auto"/>
          <w:sz w:val="20"/>
          <w:szCs w:val="20"/>
        </w:rPr>
      </w:pPr>
      <w:r w:rsidRPr="009B2846">
        <w:rPr>
          <w:color w:val="auto"/>
          <w:sz w:val="20"/>
          <w:szCs w:val="20"/>
        </w:rPr>
        <w:t xml:space="preserve">R = le nombre de jours de retard. </w:t>
      </w:r>
    </w:p>
    <w:p w:rsidR="0083794F" w:rsidRDefault="0083794F">
      <w:pPr>
        <w:jc w:val="both"/>
      </w:pPr>
    </w:p>
    <w:p w:rsidR="0083794F" w:rsidRPr="0083794F" w:rsidRDefault="0083794F" w:rsidP="0083794F">
      <w:pPr>
        <w:ind w:firstLine="708"/>
        <w:jc w:val="both"/>
        <w:rPr>
          <w:b/>
        </w:rPr>
      </w:pPr>
      <w:r w:rsidRPr="0083794F">
        <w:rPr>
          <w:b/>
        </w:rPr>
        <w:t>13.2 Mesures coercitives</w:t>
      </w:r>
    </w:p>
    <w:p w:rsidR="00332FDA" w:rsidRPr="000A3EA1" w:rsidRDefault="00332FDA">
      <w:pPr>
        <w:jc w:val="both"/>
      </w:pPr>
      <w:r w:rsidRPr="000A3EA1">
        <w:t>En cas de refus de livraison, de retard, ou de non remplacement dans les délais accordés d'une fourniture ayant fait l'objet d'un rejet, le lycée se fournira là où il le jugera utile. En cas de différence de prix au détriment du lycée, celui ci sera mise de plein droit à la charge du titulaire et imputée d'office sur le montant du plus prochain paiement effectué à son profit dans les conditions prévues à l'article 3</w:t>
      </w:r>
      <w:r w:rsidR="009B2846">
        <w:t>6</w:t>
      </w:r>
      <w:r w:rsidRPr="000A3EA1">
        <w:t xml:space="preserve"> du C.C.A.G. </w:t>
      </w:r>
    </w:p>
    <w:p w:rsidR="00332FDA" w:rsidRPr="000A3EA1" w:rsidRDefault="00332FDA">
      <w:pPr>
        <w:jc w:val="both"/>
      </w:pPr>
    </w:p>
    <w:p w:rsidR="00332FDA" w:rsidRPr="00143573" w:rsidRDefault="00143573" w:rsidP="00143573">
      <w:pPr>
        <w:pStyle w:val="Titre3"/>
        <w:rPr>
          <w:u w:val="single"/>
        </w:rPr>
      </w:pPr>
      <w:bookmarkStart w:id="13" w:name="_Toc440976897"/>
      <w:r>
        <w:rPr>
          <w:u w:val="single"/>
        </w:rPr>
        <w:t>Article 14</w:t>
      </w:r>
      <w:r w:rsidR="00CB1852">
        <w:rPr>
          <w:u w:val="single"/>
        </w:rPr>
        <w:t xml:space="preserve"> : </w:t>
      </w:r>
      <w:r>
        <w:rPr>
          <w:u w:val="single"/>
        </w:rPr>
        <w:t>Résiliation du marché</w:t>
      </w:r>
      <w:bookmarkEnd w:id="13"/>
    </w:p>
    <w:p w:rsidR="00332FDA" w:rsidRPr="000A3EA1" w:rsidRDefault="00332FDA">
      <w:pPr>
        <w:jc w:val="both"/>
      </w:pPr>
    </w:p>
    <w:p w:rsidR="00332FDA" w:rsidRPr="000A3EA1" w:rsidRDefault="0083794F">
      <w:pPr>
        <w:jc w:val="both"/>
      </w:pPr>
      <w:r>
        <w:t>-</w:t>
      </w:r>
      <w:r w:rsidR="00332FDA" w:rsidRPr="000A3EA1">
        <w:t>Les conditions de résiliation sont fixées par le</w:t>
      </w:r>
      <w:r w:rsidR="008D315E" w:rsidRPr="000A3EA1">
        <w:t xml:space="preserve"> chapitre 6</w:t>
      </w:r>
      <w:r w:rsidR="00332FDA" w:rsidRPr="000A3EA1">
        <w:t xml:space="preserve"> Cahier des Clauses Administratives Générales applicables aux marchés de fournitures courantes et de services. </w:t>
      </w:r>
    </w:p>
    <w:p w:rsidR="0083794F" w:rsidRPr="000A3EA1" w:rsidRDefault="0083794F" w:rsidP="0083794F">
      <w:pPr>
        <w:jc w:val="both"/>
      </w:pPr>
      <w:r>
        <w:t>-</w:t>
      </w:r>
      <w:r w:rsidRPr="000A3EA1">
        <w:t xml:space="preserve">En cas d'infraction caractérisée aux clauses contractuelles, indépendamment des pénalités citées au paragraphe 1 du présent article, la personne responsable du marché du lycée pourra résilier le marché sans indemnité après avoir invité le titulaire à présenter ses observations dans un délai de quinze jours. </w:t>
      </w:r>
    </w:p>
    <w:p w:rsidR="00332FDA" w:rsidRPr="00143573" w:rsidRDefault="00143573" w:rsidP="00143573">
      <w:pPr>
        <w:pStyle w:val="Titre3"/>
        <w:rPr>
          <w:u w:val="single"/>
        </w:rPr>
      </w:pPr>
      <w:bookmarkStart w:id="14" w:name="_Toc440976898"/>
      <w:r>
        <w:rPr>
          <w:u w:val="single"/>
        </w:rPr>
        <w:t>Article 15</w:t>
      </w:r>
      <w:r w:rsidR="00CB1852">
        <w:rPr>
          <w:u w:val="single"/>
        </w:rPr>
        <w:t xml:space="preserve"> : </w:t>
      </w:r>
      <w:r>
        <w:rPr>
          <w:u w:val="single"/>
        </w:rPr>
        <w:t>Droit de visite</w:t>
      </w:r>
      <w:bookmarkEnd w:id="14"/>
    </w:p>
    <w:p w:rsidR="00332FDA" w:rsidRPr="000A3EA1" w:rsidRDefault="00332FDA">
      <w:pPr>
        <w:jc w:val="both"/>
      </w:pPr>
    </w:p>
    <w:p w:rsidR="00332FDA" w:rsidRPr="000A3EA1" w:rsidRDefault="00332FDA">
      <w:pPr>
        <w:jc w:val="both"/>
      </w:pPr>
      <w:r w:rsidRPr="000A3EA1">
        <w:t xml:space="preserve">La personne responsable du marché du lycée se réserve le droit de procéder à toute visite de l'entreprise (centre de fabrication, dépôt, service de distribution, </w:t>
      </w:r>
      <w:r w:rsidR="00BC65A7" w:rsidRPr="000A3EA1">
        <w:t>etc.</w:t>
      </w:r>
      <w:r w:rsidRPr="000A3EA1">
        <w:t xml:space="preserve">) qui pourrait s'avérer nécessaire. </w:t>
      </w:r>
    </w:p>
    <w:p w:rsidR="00332FDA" w:rsidRPr="000A3EA1" w:rsidRDefault="00332FDA">
      <w:pPr>
        <w:jc w:val="both"/>
      </w:pPr>
    </w:p>
    <w:p w:rsidR="00332FDA" w:rsidRPr="00143573" w:rsidRDefault="00143573" w:rsidP="00143573">
      <w:pPr>
        <w:pStyle w:val="Titre3"/>
        <w:rPr>
          <w:u w:val="single"/>
        </w:rPr>
      </w:pPr>
      <w:bookmarkStart w:id="15" w:name="_Toc440976899"/>
      <w:r>
        <w:rPr>
          <w:u w:val="single"/>
        </w:rPr>
        <w:t>Article 16</w:t>
      </w:r>
      <w:r w:rsidR="00CB1852">
        <w:rPr>
          <w:u w:val="single"/>
        </w:rPr>
        <w:t xml:space="preserve"> : </w:t>
      </w:r>
      <w:r>
        <w:rPr>
          <w:u w:val="single"/>
        </w:rPr>
        <w:t>Dérogations aux documents généraux</w:t>
      </w:r>
      <w:bookmarkEnd w:id="15"/>
    </w:p>
    <w:p w:rsidR="00332FDA" w:rsidRPr="000A3EA1" w:rsidRDefault="00332FDA">
      <w:pPr>
        <w:spacing w:line="240" w:lineRule="atLeast"/>
        <w:jc w:val="both"/>
        <w:rPr>
          <w:b/>
        </w:rPr>
      </w:pPr>
    </w:p>
    <w:p w:rsidR="00332FDA" w:rsidRPr="000A3EA1" w:rsidRDefault="00332FDA">
      <w:pPr>
        <w:spacing w:line="240" w:lineRule="atLeast"/>
        <w:jc w:val="both"/>
      </w:pPr>
      <w:r w:rsidRPr="000A3EA1">
        <w:t xml:space="preserve">Pénalités pour retard. </w:t>
      </w:r>
    </w:p>
    <w:p w:rsidR="00332FDA" w:rsidRPr="000A3EA1" w:rsidRDefault="00332FDA">
      <w:pPr>
        <w:spacing w:line="240" w:lineRule="atLeast"/>
        <w:jc w:val="both"/>
      </w:pPr>
      <w:r w:rsidRPr="000A3EA1">
        <w:t>Cas de possibilité de résiliation par la collectivité sans indemnité : article 7-2 et 13 du présent Cahier des Clauses Particulières.</w:t>
      </w:r>
    </w:p>
    <w:p w:rsidR="00332FDA" w:rsidRDefault="00332FDA">
      <w:pPr>
        <w:jc w:val="both"/>
      </w:pPr>
    </w:p>
    <w:p w:rsidR="00332FDA" w:rsidRPr="00480B66" w:rsidRDefault="00143573" w:rsidP="00143573">
      <w:pPr>
        <w:pStyle w:val="Titre3"/>
        <w:rPr>
          <w:u w:val="single"/>
        </w:rPr>
      </w:pPr>
      <w:bookmarkStart w:id="16" w:name="_Toc440976900"/>
      <w:r>
        <w:rPr>
          <w:u w:val="single"/>
        </w:rPr>
        <w:t>Article 17</w:t>
      </w:r>
      <w:r w:rsidR="00CB1852">
        <w:rPr>
          <w:u w:val="single"/>
        </w:rPr>
        <w:t xml:space="preserve"> : </w:t>
      </w:r>
      <w:r>
        <w:rPr>
          <w:u w:val="single"/>
        </w:rPr>
        <w:t>Dispositions particulières</w:t>
      </w:r>
      <w:bookmarkEnd w:id="16"/>
    </w:p>
    <w:p w:rsidR="00332FDA" w:rsidRPr="000A3EA1" w:rsidRDefault="00332FDA">
      <w:pPr>
        <w:spacing w:line="240" w:lineRule="atLeast"/>
        <w:jc w:val="both"/>
        <w:rPr>
          <w:b/>
          <w:u w:val="single"/>
        </w:rPr>
      </w:pPr>
    </w:p>
    <w:p w:rsidR="00332FDA" w:rsidRPr="000A3EA1" w:rsidRDefault="00332FDA">
      <w:r w:rsidRPr="000A3EA1">
        <w:t>Dispositions applicables en cas de titulaire étranger.</w:t>
      </w:r>
    </w:p>
    <w:p w:rsidR="00332FDA" w:rsidRPr="000A3EA1" w:rsidRDefault="00332FDA"/>
    <w:p w:rsidR="00332FDA" w:rsidRPr="000A3EA1" w:rsidRDefault="00332FDA">
      <w:r w:rsidRPr="000A3EA1">
        <w:t>En cas de litige, la loi française est seule applicable. Les tribunaux français sont seuls compétents. Les correspondances relatives au marché sont rédigées en français.</w:t>
      </w:r>
    </w:p>
    <w:p w:rsidR="00F12A04" w:rsidRPr="000A3EA1" w:rsidRDefault="00F12A04"/>
    <w:p w:rsidR="00F12A04" w:rsidRDefault="00F12A04" w:rsidP="00F12A04">
      <w:pPr>
        <w:jc w:val="both"/>
      </w:pPr>
    </w:p>
    <w:p w:rsidR="009C17FE" w:rsidRDefault="009C17FE" w:rsidP="00F12A04">
      <w:pPr>
        <w:jc w:val="both"/>
      </w:pPr>
    </w:p>
    <w:p w:rsidR="009C17FE" w:rsidRPr="009C17FE" w:rsidRDefault="009C17FE" w:rsidP="009C17FE">
      <w:pPr>
        <w:rPr>
          <w:rFonts w:ascii="Arial" w:hAnsi="Arial"/>
          <w:b/>
          <w:i/>
          <w:sz w:val="22"/>
          <w:szCs w:val="22"/>
        </w:rPr>
      </w:pPr>
      <w:r w:rsidRPr="009C17FE">
        <w:rPr>
          <w:rFonts w:ascii="Arial" w:hAnsi="Arial"/>
          <w:b/>
          <w:i/>
          <w:sz w:val="22"/>
          <w:szCs w:val="22"/>
        </w:rPr>
        <w:t>Remarque :</w:t>
      </w:r>
    </w:p>
    <w:p w:rsidR="009C17FE" w:rsidRPr="009C17FE" w:rsidRDefault="009C17FE" w:rsidP="009C17FE">
      <w:r w:rsidRPr="009C17FE">
        <w:t>Chaque feuillet du présent document doit être paraphé par l’entreprise</w:t>
      </w:r>
    </w:p>
    <w:p w:rsidR="009C17FE" w:rsidRPr="009C17FE" w:rsidRDefault="009C17FE" w:rsidP="009C17FE"/>
    <w:p w:rsidR="009C17FE" w:rsidRPr="009C17FE" w:rsidRDefault="009C17FE" w:rsidP="009C17FE"/>
    <w:p w:rsidR="009C17FE" w:rsidRDefault="009C17FE" w:rsidP="00F12A04">
      <w:pPr>
        <w:jc w:val="both"/>
      </w:pPr>
    </w:p>
    <w:p w:rsidR="009C17FE" w:rsidRDefault="009C17FE" w:rsidP="00F12A04">
      <w:pPr>
        <w:jc w:val="both"/>
      </w:pPr>
    </w:p>
    <w:p w:rsidR="009C17FE" w:rsidRDefault="009C17FE" w:rsidP="00F12A04">
      <w:pPr>
        <w:jc w:val="both"/>
      </w:pPr>
    </w:p>
    <w:p w:rsidR="009C17FE" w:rsidRPr="000A3EA1" w:rsidRDefault="009C17FE" w:rsidP="00F12A04">
      <w:pPr>
        <w:jc w:val="both"/>
      </w:pPr>
    </w:p>
    <w:p w:rsidR="00F12A04" w:rsidRPr="000A3EA1" w:rsidRDefault="00F12A04" w:rsidP="00F12A04">
      <w:pPr>
        <w:tabs>
          <w:tab w:val="left" w:pos="6663"/>
        </w:tabs>
        <w:jc w:val="both"/>
        <w:rPr>
          <w:color w:val="000000"/>
        </w:rPr>
      </w:pPr>
    </w:p>
    <w:p w:rsidR="00870729" w:rsidRDefault="00F12A04" w:rsidP="00870729">
      <w:pPr>
        <w:rPr>
          <w:color w:val="000000"/>
        </w:rPr>
      </w:pPr>
      <w:r w:rsidRPr="00870729">
        <w:rPr>
          <w:color w:val="000000"/>
        </w:rPr>
        <w:t xml:space="preserve">Fait  en un exemplaire unique  à </w:t>
      </w:r>
    </w:p>
    <w:p w:rsidR="00870729" w:rsidRDefault="00870729" w:rsidP="00870729">
      <w:pPr>
        <w:rPr>
          <w:color w:val="000000"/>
        </w:rPr>
      </w:pPr>
    </w:p>
    <w:p w:rsidR="00F12A04" w:rsidRPr="00870729" w:rsidRDefault="00870729" w:rsidP="00870729">
      <w:pPr>
        <w:rPr>
          <w:color w:val="000000"/>
        </w:rPr>
      </w:pPr>
      <w:r>
        <w:rPr>
          <w:color w:val="000000"/>
        </w:rPr>
        <w:t>L</w:t>
      </w:r>
      <w:r w:rsidR="00F12A04" w:rsidRPr="00870729">
        <w:rPr>
          <w:color w:val="000000"/>
        </w:rPr>
        <w:t>e</w:t>
      </w:r>
    </w:p>
    <w:p w:rsidR="00F12A04" w:rsidRPr="00870729" w:rsidRDefault="00F12A04" w:rsidP="00870729">
      <w:pPr>
        <w:rPr>
          <w:color w:val="000000"/>
        </w:rPr>
      </w:pPr>
    </w:p>
    <w:p w:rsidR="00F12A04" w:rsidRPr="00870729" w:rsidRDefault="00F12A04" w:rsidP="00870729">
      <w:pPr>
        <w:rPr>
          <w:color w:val="000000"/>
        </w:rPr>
      </w:pPr>
    </w:p>
    <w:p w:rsidR="00F12A04" w:rsidRPr="00870729" w:rsidRDefault="00870729" w:rsidP="00870729">
      <w:pPr>
        <w:jc w:val="center"/>
        <w:rPr>
          <w:color w:val="000000"/>
        </w:rPr>
      </w:pPr>
      <w:r>
        <w:rPr>
          <w:color w:val="000000"/>
        </w:rPr>
        <w:t xml:space="preserve">Signature et </w:t>
      </w:r>
      <w:r w:rsidR="00F12A04" w:rsidRPr="00870729">
        <w:rPr>
          <w:color w:val="000000"/>
        </w:rPr>
        <w:t>Cachet de l’entreprise</w:t>
      </w:r>
    </w:p>
    <w:p w:rsidR="00F12A04" w:rsidRPr="00870729" w:rsidRDefault="00F12A04" w:rsidP="00870729">
      <w:pPr>
        <w:rPr>
          <w:color w:val="000000"/>
        </w:rPr>
      </w:pPr>
    </w:p>
    <w:p w:rsidR="00F12A04" w:rsidRPr="00870729" w:rsidRDefault="00F12A04" w:rsidP="00870729">
      <w:pPr>
        <w:rPr>
          <w:color w:val="000000"/>
        </w:rPr>
      </w:pPr>
    </w:p>
    <w:p w:rsidR="00F12A04" w:rsidRPr="000A3EA1" w:rsidRDefault="00F12A04" w:rsidP="00870729">
      <w:pPr>
        <w:pStyle w:val="Paragraphedeliste"/>
        <w:ind w:left="0"/>
        <w:contextualSpacing w:val="0"/>
        <w:rPr>
          <w:color w:val="000000"/>
          <w:sz w:val="24"/>
          <w:szCs w:val="24"/>
        </w:rPr>
      </w:pPr>
    </w:p>
    <w:p w:rsidR="00870729" w:rsidRPr="00870729" w:rsidRDefault="00870729" w:rsidP="00870729">
      <w:pPr>
        <w:spacing w:line="240" w:lineRule="atLeast"/>
        <w:rPr>
          <w:i/>
          <w:color w:val="000000"/>
        </w:rPr>
      </w:pPr>
      <w:r w:rsidRPr="00870729">
        <w:rPr>
          <w:i/>
          <w:color w:val="000000"/>
        </w:rPr>
        <w:t xml:space="preserve">Avec mention manuscrite « lu et approuvé » devant la signature </w:t>
      </w:r>
    </w:p>
    <w:p w:rsidR="00F12A04" w:rsidRPr="000A3EA1" w:rsidRDefault="00F12A04"/>
    <w:p w:rsidR="00F12A04" w:rsidRPr="000A3EA1" w:rsidRDefault="00F12A04"/>
    <w:sectPr w:rsidR="00F12A04" w:rsidRPr="000A3EA1" w:rsidSect="009B6846">
      <w:footerReference w:type="default" r:id="rId9"/>
      <w:headerReference w:type="first" r:id="rId10"/>
      <w:pgSz w:w="11907" w:h="16840"/>
      <w:pgMar w:top="567" w:right="851" w:bottom="567" w:left="1134" w:header="340" w:footer="28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C2" w:rsidRDefault="00255EC2" w:rsidP="00244D32">
      <w:r>
        <w:separator/>
      </w:r>
    </w:p>
  </w:endnote>
  <w:endnote w:type="continuationSeparator" w:id="0">
    <w:p w:rsidR="00255EC2" w:rsidRDefault="00255EC2" w:rsidP="00244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4131"/>
      <w:docPartObj>
        <w:docPartGallery w:val="Page Numbers (Bottom of Page)"/>
        <w:docPartUnique/>
      </w:docPartObj>
    </w:sdtPr>
    <w:sdtContent>
      <w:p w:rsidR="008F7F64" w:rsidRDefault="00B02716">
        <w:pPr>
          <w:pStyle w:val="Pieddepage"/>
          <w:jc w:val="right"/>
        </w:pPr>
        <w:fldSimple w:instr=" PAGE   \* MERGEFORMAT ">
          <w:r w:rsidR="001010E3">
            <w:rPr>
              <w:noProof/>
            </w:rPr>
            <w:t>4</w:t>
          </w:r>
        </w:fldSimple>
      </w:p>
    </w:sdtContent>
  </w:sdt>
  <w:p w:rsidR="008F7F64" w:rsidRDefault="008F7F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C2" w:rsidRDefault="00255EC2" w:rsidP="00244D32">
      <w:r>
        <w:separator/>
      </w:r>
    </w:p>
  </w:footnote>
  <w:footnote w:type="continuationSeparator" w:id="0">
    <w:p w:rsidR="00255EC2" w:rsidRDefault="00255EC2" w:rsidP="00244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75" w:type="dxa"/>
      <w:jc w:val="center"/>
      <w:tblInd w:w="-414" w:type="dxa"/>
      <w:tblLayout w:type="fixed"/>
      <w:tblCellMar>
        <w:left w:w="70" w:type="dxa"/>
        <w:right w:w="70" w:type="dxa"/>
      </w:tblCellMar>
      <w:tblLook w:val="04A0"/>
    </w:tblPr>
    <w:tblGrid>
      <w:gridCol w:w="3506"/>
      <w:gridCol w:w="7969"/>
    </w:tblGrid>
    <w:tr w:rsidR="008F7F64" w:rsidTr="008653EA">
      <w:trPr>
        <w:trHeight w:val="1758"/>
        <w:jc w:val="center"/>
      </w:trPr>
      <w:tc>
        <w:tcPr>
          <w:tcW w:w="3506" w:type="dxa"/>
        </w:tcPr>
        <w:p w:rsidR="008F7F64" w:rsidRDefault="008F7F64">
          <w:pPr>
            <w:rPr>
              <w:sz w:val="24"/>
              <w:szCs w:val="24"/>
            </w:rPr>
          </w:pPr>
        </w:p>
        <w:p w:rsidR="008F7F64" w:rsidRDefault="008F7F64">
          <w:pPr>
            <w:rPr>
              <w:b/>
              <w:color w:val="000080"/>
              <w:sz w:val="18"/>
              <w:szCs w:val="18"/>
            </w:rPr>
          </w:pPr>
          <w:r>
            <w:rPr>
              <w:b/>
              <w:noProof/>
              <w:color w:val="000080"/>
              <w:sz w:val="18"/>
              <w:szCs w:val="18"/>
            </w:rPr>
            <w:drawing>
              <wp:inline distT="0" distB="0" distL="0" distR="0">
                <wp:extent cx="2048510" cy="1706863"/>
                <wp:effectExtent l="19050" t="0" r="8890" b="0"/>
                <wp:docPr id="1" name="Image 1" descr="C:\Users\compta6\AppData\Local\Temp\Temp2_0820021c-3.zip\logo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ta6\AppData\Local\Temp\Temp2_0820021c-3.zip\logobleu.png"/>
                        <pic:cNvPicPr>
                          <a:picLocks noChangeAspect="1" noChangeArrowheads="1"/>
                        </pic:cNvPicPr>
                      </pic:nvPicPr>
                      <pic:blipFill>
                        <a:blip r:embed="rId1"/>
                        <a:srcRect/>
                        <a:stretch>
                          <a:fillRect/>
                        </a:stretch>
                      </pic:blipFill>
                      <pic:spPr bwMode="auto">
                        <a:xfrm>
                          <a:off x="0" y="0"/>
                          <a:ext cx="2048510" cy="1706863"/>
                        </a:xfrm>
                        <a:prstGeom prst="rect">
                          <a:avLst/>
                        </a:prstGeom>
                        <a:noFill/>
                        <a:ln w="9525">
                          <a:noFill/>
                          <a:miter lim="800000"/>
                          <a:headEnd/>
                          <a:tailEnd/>
                        </a:ln>
                      </pic:spPr>
                    </pic:pic>
                  </a:graphicData>
                </a:graphic>
              </wp:inline>
            </w:drawing>
          </w:r>
        </w:p>
      </w:tc>
      <w:tc>
        <w:tcPr>
          <w:tcW w:w="7969" w:type="dxa"/>
        </w:tcPr>
        <w:p w:rsidR="008F7F64" w:rsidRDefault="008F7F64" w:rsidP="008653EA">
          <w:pPr>
            <w:ind w:left="189" w:right="-767"/>
            <w:jc w:val="center"/>
            <w:rPr>
              <w:rFonts w:ascii="Arial" w:hAnsi="Arial" w:cs="Arial"/>
              <w:sz w:val="28"/>
              <w:szCs w:val="28"/>
            </w:rPr>
          </w:pPr>
        </w:p>
        <w:p w:rsidR="008F7F64" w:rsidRDefault="008F7F64" w:rsidP="008653EA">
          <w:pPr>
            <w:ind w:left="189" w:right="-767"/>
            <w:jc w:val="center"/>
            <w:rPr>
              <w:rFonts w:ascii="Arial" w:hAnsi="Arial" w:cs="Arial"/>
              <w:sz w:val="28"/>
              <w:szCs w:val="28"/>
            </w:rPr>
          </w:pPr>
        </w:p>
        <w:p w:rsidR="008F7F64" w:rsidRDefault="008F7F64" w:rsidP="008653EA">
          <w:pPr>
            <w:ind w:right="-767"/>
            <w:jc w:val="center"/>
            <w:rPr>
              <w:rFonts w:ascii="Arial" w:hAnsi="Arial" w:cs="Arial"/>
              <w:sz w:val="28"/>
              <w:szCs w:val="28"/>
            </w:rPr>
          </w:pPr>
        </w:p>
        <w:p w:rsidR="008F7F64" w:rsidRDefault="008F7F64" w:rsidP="008653EA">
          <w:pPr>
            <w:ind w:right="-767"/>
            <w:jc w:val="center"/>
            <w:rPr>
              <w:rFonts w:ascii="Arial" w:hAnsi="Arial" w:cs="Arial"/>
              <w:sz w:val="28"/>
              <w:szCs w:val="28"/>
            </w:rPr>
          </w:pPr>
        </w:p>
        <w:p w:rsidR="008F7F64" w:rsidRDefault="008F7F64" w:rsidP="008653EA">
          <w:pPr>
            <w:ind w:right="-767"/>
            <w:rPr>
              <w:rFonts w:ascii="Arial" w:hAnsi="Arial" w:cs="Arial"/>
              <w:sz w:val="10"/>
              <w:szCs w:val="10"/>
            </w:rPr>
          </w:pPr>
          <w:r>
            <w:rPr>
              <w:rFonts w:ascii="Arial" w:hAnsi="Arial" w:cs="Arial"/>
              <w:sz w:val="28"/>
              <w:szCs w:val="28"/>
            </w:rPr>
            <w:t>Lycée ANTOINE BOURDELLE</w:t>
          </w:r>
        </w:p>
        <w:p w:rsidR="008F7F64" w:rsidRDefault="008F7F64" w:rsidP="008653EA">
          <w:pPr>
            <w:ind w:right="-767"/>
            <w:rPr>
              <w:rFonts w:ascii="Arial" w:hAnsi="Arial" w:cs="Arial"/>
              <w:sz w:val="10"/>
              <w:szCs w:val="10"/>
            </w:rPr>
          </w:pPr>
        </w:p>
        <w:p w:rsidR="008F7F64" w:rsidRDefault="008F7F64" w:rsidP="008653EA">
          <w:pPr>
            <w:rPr>
              <w:rFonts w:ascii="Arial" w:hAnsi="Arial" w:cs="Arial"/>
            </w:rPr>
          </w:pPr>
          <w:r>
            <w:rPr>
              <w:rFonts w:ascii="Arial" w:hAnsi="Arial" w:cs="Arial"/>
            </w:rPr>
            <w:t>3 boulevard Edouard Herriot 82000 MONTAUBAN</w:t>
          </w:r>
        </w:p>
        <w:p w:rsidR="008F7F64" w:rsidRDefault="008F7F64" w:rsidP="008653EA">
          <w:pPr>
            <w:rPr>
              <w:rFonts w:ascii="Arial" w:hAnsi="Arial" w:cs="Arial"/>
              <w:sz w:val="8"/>
              <w:szCs w:val="8"/>
            </w:rPr>
          </w:pPr>
        </w:p>
        <w:p w:rsidR="008F7F64" w:rsidRDefault="008F7F64" w:rsidP="008653EA">
          <w:pPr>
            <w:rPr>
              <w:rFonts w:ascii="Arial" w:hAnsi="Arial" w:cs="Arial"/>
            </w:rPr>
          </w:pPr>
          <w:r>
            <w:rPr>
              <w:rFonts w:ascii="Arial" w:hAnsi="Arial" w:cs="Arial"/>
            </w:rPr>
            <w:t>Tél. 05 63 92 63 00</w:t>
          </w:r>
        </w:p>
        <w:p w:rsidR="008F7F64" w:rsidRPr="00D24B1B" w:rsidRDefault="008F7F64" w:rsidP="008653EA">
          <w:pPr>
            <w:rPr>
              <w:b/>
              <w:color w:val="0F243E"/>
              <w:sz w:val="24"/>
              <w:szCs w:val="24"/>
            </w:rPr>
          </w:pPr>
          <w:r>
            <w:rPr>
              <w:rFonts w:ascii="Arial" w:hAnsi="Arial" w:cs="Arial"/>
              <w:lang w:val="de-DE"/>
            </w:rPr>
            <w:t xml:space="preserve">Mail   </w:t>
          </w:r>
          <w:hyperlink r:id="rId2" w:history="1">
            <w:r w:rsidRPr="00BC2284">
              <w:rPr>
                <w:rStyle w:val="Lienhypertexte"/>
                <w:rFonts w:ascii="Myriad Pro" w:hAnsi="Myriad Pro"/>
                <w:sz w:val="18"/>
                <w:szCs w:val="18"/>
              </w:rPr>
              <w:t>intendance.bourdelle@ac-toulouse.fr</w:t>
            </w:r>
          </w:hyperlink>
        </w:p>
      </w:tc>
    </w:tr>
  </w:tbl>
  <w:p w:rsidR="008F7F64" w:rsidRDefault="008F7F6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8F6F"/>
    <w:multiLevelType w:val="hybridMultilevel"/>
    <w:tmpl w:val="19418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323090"/>
    <w:multiLevelType w:val="hybridMultilevel"/>
    <w:tmpl w:val="918E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3812AF"/>
    <w:multiLevelType w:val="hybridMultilevel"/>
    <w:tmpl w:val="73EE094C"/>
    <w:lvl w:ilvl="0" w:tplc="8F6EE854">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35E963B3"/>
    <w:multiLevelType w:val="hybridMultilevel"/>
    <w:tmpl w:val="353A4ACA"/>
    <w:lvl w:ilvl="0" w:tplc="0FD601F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grammar="clean"/>
  <w:stylePaneFormatFilter w:val="3F01"/>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01F5B"/>
    <w:rsid w:val="000212EB"/>
    <w:rsid w:val="00050EE2"/>
    <w:rsid w:val="00057DE7"/>
    <w:rsid w:val="00060BA9"/>
    <w:rsid w:val="00073449"/>
    <w:rsid w:val="000A3EA1"/>
    <w:rsid w:val="000B443D"/>
    <w:rsid w:val="000D1D27"/>
    <w:rsid w:val="000D3E49"/>
    <w:rsid w:val="001010E3"/>
    <w:rsid w:val="00120AC9"/>
    <w:rsid w:val="00143573"/>
    <w:rsid w:val="00146D6A"/>
    <w:rsid w:val="00157457"/>
    <w:rsid w:val="00161119"/>
    <w:rsid w:val="001674E2"/>
    <w:rsid w:val="001C100C"/>
    <w:rsid w:val="001D6EE7"/>
    <w:rsid w:val="001E03AC"/>
    <w:rsid w:val="001E2387"/>
    <w:rsid w:val="001E678A"/>
    <w:rsid w:val="00200836"/>
    <w:rsid w:val="00206F99"/>
    <w:rsid w:val="00211FCF"/>
    <w:rsid w:val="00230826"/>
    <w:rsid w:val="00244D32"/>
    <w:rsid w:val="00255EC2"/>
    <w:rsid w:val="00265DBE"/>
    <w:rsid w:val="002E6FFA"/>
    <w:rsid w:val="00317EBC"/>
    <w:rsid w:val="00332FDA"/>
    <w:rsid w:val="00336C67"/>
    <w:rsid w:val="00372869"/>
    <w:rsid w:val="003B02B2"/>
    <w:rsid w:val="003B3E28"/>
    <w:rsid w:val="003E51B6"/>
    <w:rsid w:val="003F6A5C"/>
    <w:rsid w:val="00400EBD"/>
    <w:rsid w:val="00403365"/>
    <w:rsid w:val="00420A77"/>
    <w:rsid w:val="00443C66"/>
    <w:rsid w:val="00454A78"/>
    <w:rsid w:val="00456AFE"/>
    <w:rsid w:val="00462ED9"/>
    <w:rsid w:val="00464927"/>
    <w:rsid w:val="00477704"/>
    <w:rsid w:val="00480B66"/>
    <w:rsid w:val="004A5E46"/>
    <w:rsid w:val="004C1794"/>
    <w:rsid w:val="004C2DD9"/>
    <w:rsid w:val="004D001D"/>
    <w:rsid w:val="00501175"/>
    <w:rsid w:val="00526D44"/>
    <w:rsid w:val="005469BD"/>
    <w:rsid w:val="00546D5C"/>
    <w:rsid w:val="00586A5D"/>
    <w:rsid w:val="005A7FCA"/>
    <w:rsid w:val="005C568B"/>
    <w:rsid w:val="005E649F"/>
    <w:rsid w:val="005F1BB6"/>
    <w:rsid w:val="00603F7D"/>
    <w:rsid w:val="00610A13"/>
    <w:rsid w:val="00637156"/>
    <w:rsid w:val="0069476D"/>
    <w:rsid w:val="006A1A13"/>
    <w:rsid w:val="006B3C47"/>
    <w:rsid w:val="006B421E"/>
    <w:rsid w:val="006C0D0D"/>
    <w:rsid w:val="007171CF"/>
    <w:rsid w:val="00723AE5"/>
    <w:rsid w:val="00734494"/>
    <w:rsid w:val="00742C2D"/>
    <w:rsid w:val="00754D96"/>
    <w:rsid w:val="00771C5F"/>
    <w:rsid w:val="007957FF"/>
    <w:rsid w:val="007A5438"/>
    <w:rsid w:val="007C7032"/>
    <w:rsid w:val="007D2B46"/>
    <w:rsid w:val="007E4CC5"/>
    <w:rsid w:val="007F2578"/>
    <w:rsid w:val="0083794F"/>
    <w:rsid w:val="008653EA"/>
    <w:rsid w:val="00870729"/>
    <w:rsid w:val="0087174C"/>
    <w:rsid w:val="00874407"/>
    <w:rsid w:val="008C24C9"/>
    <w:rsid w:val="008D315E"/>
    <w:rsid w:val="008D7457"/>
    <w:rsid w:val="008F7F64"/>
    <w:rsid w:val="009171E7"/>
    <w:rsid w:val="0095692D"/>
    <w:rsid w:val="0097544B"/>
    <w:rsid w:val="00990BD7"/>
    <w:rsid w:val="009A2DE0"/>
    <w:rsid w:val="009B2846"/>
    <w:rsid w:val="009B6846"/>
    <w:rsid w:val="009C17FE"/>
    <w:rsid w:val="009E57D7"/>
    <w:rsid w:val="00A13F83"/>
    <w:rsid w:val="00A17EC6"/>
    <w:rsid w:val="00A30DE4"/>
    <w:rsid w:val="00A31422"/>
    <w:rsid w:val="00A364B8"/>
    <w:rsid w:val="00A84920"/>
    <w:rsid w:val="00A87507"/>
    <w:rsid w:val="00AD405B"/>
    <w:rsid w:val="00AE6E74"/>
    <w:rsid w:val="00AF504F"/>
    <w:rsid w:val="00AF618C"/>
    <w:rsid w:val="00B01F5B"/>
    <w:rsid w:val="00B02716"/>
    <w:rsid w:val="00B30D6B"/>
    <w:rsid w:val="00B47C37"/>
    <w:rsid w:val="00B56031"/>
    <w:rsid w:val="00BB6076"/>
    <w:rsid w:val="00BC3E81"/>
    <w:rsid w:val="00BC65A7"/>
    <w:rsid w:val="00BD11B7"/>
    <w:rsid w:val="00BD79A5"/>
    <w:rsid w:val="00BE5462"/>
    <w:rsid w:val="00BE555C"/>
    <w:rsid w:val="00C0532A"/>
    <w:rsid w:val="00C11CFE"/>
    <w:rsid w:val="00C27954"/>
    <w:rsid w:val="00C67F1C"/>
    <w:rsid w:val="00C75AB4"/>
    <w:rsid w:val="00C775F3"/>
    <w:rsid w:val="00CA79DB"/>
    <w:rsid w:val="00CB1852"/>
    <w:rsid w:val="00CB1D37"/>
    <w:rsid w:val="00CD5A37"/>
    <w:rsid w:val="00CE1C92"/>
    <w:rsid w:val="00CE3184"/>
    <w:rsid w:val="00D051BA"/>
    <w:rsid w:val="00D17E2A"/>
    <w:rsid w:val="00D24B1B"/>
    <w:rsid w:val="00D45C8B"/>
    <w:rsid w:val="00D54797"/>
    <w:rsid w:val="00D93C24"/>
    <w:rsid w:val="00DC5F04"/>
    <w:rsid w:val="00DD221C"/>
    <w:rsid w:val="00E002D5"/>
    <w:rsid w:val="00E061D0"/>
    <w:rsid w:val="00E25C6E"/>
    <w:rsid w:val="00E439FF"/>
    <w:rsid w:val="00E52C4E"/>
    <w:rsid w:val="00E61221"/>
    <w:rsid w:val="00E71E58"/>
    <w:rsid w:val="00EA55E3"/>
    <w:rsid w:val="00EA7E30"/>
    <w:rsid w:val="00EE1A64"/>
    <w:rsid w:val="00EE62A9"/>
    <w:rsid w:val="00F12A04"/>
    <w:rsid w:val="00F2432F"/>
    <w:rsid w:val="00F30879"/>
    <w:rsid w:val="00F55D21"/>
    <w:rsid w:val="00F61F25"/>
    <w:rsid w:val="00F86737"/>
    <w:rsid w:val="00FE1B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462"/>
    <w:pPr>
      <w:overflowPunct w:val="0"/>
      <w:autoSpaceDE w:val="0"/>
      <w:autoSpaceDN w:val="0"/>
      <w:adjustRightInd w:val="0"/>
      <w:textAlignment w:val="baseline"/>
    </w:pPr>
  </w:style>
  <w:style w:type="paragraph" w:styleId="Titre1">
    <w:name w:val="heading 1"/>
    <w:basedOn w:val="Normal"/>
    <w:next w:val="Normal"/>
    <w:qFormat/>
    <w:rsid w:val="00BE5462"/>
    <w:pPr>
      <w:keepNext/>
      <w:jc w:val="both"/>
      <w:outlineLvl w:val="0"/>
    </w:pPr>
    <w:rPr>
      <w:rFonts w:ascii="Arial" w:hAnsi="Arial"/>
      <w:b/>
      <w:sz w:val="18"/>
    </w:rPr>
  </w:style>
  <w:style w:type="paragraph" w:styleId="Titre3">
    <w:name w:val="heading 3"/>
    <w:basedOn w:val="Normal"/>
    <w:next w:val="Normal"/>
    <w:link w:val="Titre3Car"/>
    <w:unhideWhenUsed/>
    <w:qFormat/>
    <w:rsid w:val="00F12A04"/>
    <w:pPr>
      <w:keepNext/>
      <w:keepLines/>
      <w:spacing w:before="200"/>
      <w:outlineLvl w:val="2"/>
    </w:pPr>
    <w:rPr>
      <w:rFonts w:asciiTheme="majorHAnsi" w:eastAsiaTheme="majorEastAsia" w:hAnsiTheme="majorHAnsi" w:cstheme="majorBidi"/>
      <w:b/>
      <w:bC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rsid w:val="00BE5462"/>
    <w:rPr>
      <w:color w:val="0000FF"/>
      <w:u w:val="single"/>
    </w:rPr>
  </w:style>
  <w:style w:type="paragraph" w:customStyle="1" w:styleId="RedNomDoc">
    <w:name w:val="RedNomDoc"/>
    <w:basedOn w:val="Normal"/>
    <w:rsid w:val="00CE1C92"/>
    <w:pPr>
      <w:overflowPunct/>
      <w:autoSpaceDE/>
      <w:autoSpaceDN/>
      <w:adjustRightInd/>
      <w:jc w:val="center"/>
      <w:textAlignment w:val="auto"/>
    </w:pPr>
    <w:rPr>
      <w:rFonts w:ascii="Arial" w:hAnsi="Arial"/>
      <w:b/>
      <w:sz w:val="30"/>
    </w:rPr>
  </w:style>
  <w:style w:type="paragraph" w:styleId="En-tte">
    <w:name w:val="header"/>
    <w:basedOn w:val="Normal"/>
    <w:link w:val="En-tteCar"/>
    <w:rsid w:val="00244D32"/>
    <w:pPr>
      <w:tabs>
        <w:tab w:val="center" w:pos="4536"/>
        <w:tab w:val="right" w:pos="9072"/>
      </w:tabs>
    </w:pPr>
  </w:style>
  <w:style w:type="character" w:customStyle="1" w:styleId="En-tteCar">
    <w:name w:val="En-tête Car"/>
    <w:basedOn w:val="Policepardfaut"/>
    <w:link w:val="En-tte"/>
    <w:rsid w:val="00244D32"/>
  </w:style>
  <w:style w:type="paragraph" w:styleId="Pieddepage">
    <w:name w:val="footer"/>
    <w:basedOn w:val="Normal"/>
    <w:link w:val="PieddepageCar"/>
    <w:uiPriority w:val="99"/>
    <w:rsid w:val="00244D32"/>
    <w:pPr>
      <w:tabs>
        <w:tab w:val="center" w:pos="4536"/>
        <w:tab w:val="right" w:pos="9072"/>
      </w:tabs>
    </w:pPr>
  </w:style>
  <w:style w:type="character" w:customStyle="1" w:styleId="PieddepageCar">
    <w:name w:val="Pied de page Car"/>
    <w:basedOn w:val="Policepardfaut"/>
    <w:link w:val="Pieddepage"/>
    <w:uiPriority w:val="99"/>
    <w:rsid w:val="00244D32"/>
  </w:style>
  <w:style w:type="character" w:styleId="Lienhypertexte">
    <w:name w:val="Hyperlink"/>
    <w:basedOn w:val="Policepardfaut"/>
    <w:uiPriority w:val="99"/>
    <w:unhideWhenUsed/>
    <w:rsid w:val="00244D32"/>
    <w:rPr>
      <w:color w:val="0000FF"/>
      <w:u w:val="single"/>
    </w:rPr>
  </w:style>
  <w:style w:type="paragraph" w:styleId="Textedebulles">
    <w:name w:val="Balloon Text"/>
    <w:basedOn w:val="Normal"/>
    <w:link w:val="TextedebullesCar"/>
    <w:rsid w:val="00244D32"/>
    <w:rPr>
      <w:rFonts w:ascii="Tahoma" w:hAnsi="Tahoma" w:cs="Tahoma"/>
      <w:sz w:val="16"/>
      <w:szCs w:val="16"/>
    </w:rPr>
  </w:style>
  <w:style w:type="character" w:customStyle="1" w:styleId="TextedebullesCar">
    <w:name w:val="Texte de bulles Car"/>
    <w:basedOn w:val="Policepardfaut"/>
    <w:link w:val="Textedebulles"/>
    <w:rsid w:val="00244D32"/>
    <w:rPr>
      <w:rFonts w:ascii="Tahoma" w:hAnsi="Tahoma" w:cs="Tahoma"/>
      <w:sz w:val="16"/>
      <w:szCs w:val="16"/>
    </w:rPr>
  </w:style>
  <w:style w:type="paragraph" w:styleId="Paragraphedeliste">
    <w:name w:val="List Paragraph"/>
    <w:basedOn w:val="Normal"/>
    <w:uiPriority w:val="34"/>
    <w:qFormat/>
    <w:rsid w:val="008D7457"/>
    <w:pPr>
      <w:ind w:left="720"/>
      <w:contextualSpacing/>
    </w:pPr>
  </w:style>
  <w:style w:type="table" w:styleId="Grilledutableau">
    <w:name w:val="Table Grid"/>
    <w:basedOn w:val="TableauNormal"/>
    <w:rsid w:val="007F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F12A04"/>
    <w:rPr>
      <w:rFonts w:asciiTheme="majorHAnsi" w:eastAsiaTheme="majorEastAsia" w:hAnsiTheme="majorHAnsi" w:cstheme="majorBidi"/>
      <w:b/>
      <w:bCs/>
      <w:color w:val="000000" w:themeColor="text1"/>
      <w:sz w:val="24"/>
    </w:rPr>
  </w:style>
  <w:style w:type="paragraph" w:styleId="En-ttedetabledesmatires">
    <w:name w:val="TOC Heading"/>
    <w:basedOn w:val="Titre1"/>
    <w:next w:val="Normal"/>
    <w:uiPriority w:val="39"/>
    <w:semiHidden/>
    <w:unhideWhenUsed/>
    <w:qFormat/>
    <w:rsid w:val="00143573"/>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lang w:eastAsia="en-US"/>
    </w:rPr>
  </w:style>
  <w:style w:type="paragraph" w:styleId="TM3">
    <w:name w:val="toc 3"/>
    <w:basedOn w:val="Normal"/>
    <w:next w:val="Normal"/>
    <w:autoRedefine/>
    <w:uiPriority w:val="39"/>
    <w:rsid w:val="00143573"/>
    <w:pPr>
      <w:spacing w:after="100"/>
      <w:ind w:left="400"/>
    </w:pPr>
  </w:style>
  <w:style w:type="paragraph" w:styleId="TM1">
    <w:name w:val="toc 1"/>
    <w:basedOn w:val="Normal"/>
    <w:next w:val="Normal"/>
    <w:autoRedefine/>
    <w:uiPriority w:val="39"/>
    <w:rsid w:val="00143573"/>
    <w:pPr>
      <w:spacing w:after="100"/>
    </w:pPr>
  </w:style>
  <w:style w:type="paragraph" w:customStyle="1" w:styleId="Default">
    <w:name w:val="Default"/>
    <w:rsid w:val="009B2846"/>
    <w:pPr>
      <w:autoSpaceDE w:val="0"/>
      <w:autoSpaceDN w:val="0"/>
      <w:adjustRightInd w:val="0"/>
    </w:pPr>
    <w:rPr>
      <w:color w:val="000000"/>
      <w:sz w:val="24"/>
      <w:szCs w:val="24"/>
    </w:rPr>
  </w:style>
  <w:style w:type="paragraph" w:customStyle="1" w:styleId="Listepuce">
    <w:name w:val="Liste à puce"/>
    <w:basedOn w:val="Normal"/>
    <w:rsid w:val="009A2DE0"/>
    <w:pPr>
      <w:widowControl w:val="0"/>
      <w:overflowPunct/>
      <w:adjustRightInd/>
      <w:spacing w:before="60"/>
      <w:ind w:left="568" w:hanging="284"/>
      <w:jc w:val="both"/>
      <w:textAlignment w:val="auto"/>
    </w:pPr>
  </w:style>
  <w:style w:type="character" w:styleId="lev">
    <w:name w:val="Strong"/>
    <w:basedOn w:val="Policepardfaut"/>
    <w:uiPriority w:val="22"/>
    <w:qFormat/>
    <w:rsid w:val="000D1D27"/>
    <w:rPr>
      <w:b/>
      <w:bCs/>
    </w:rPr>
  </w:style>
  <w:style w:type="paragraph" w:customStyle="1" w:styleId="RedTitre1">
    <w:name w:val="RedTitre1"/>
    <w:basedOn w:val="Normal"/>
    <w:rsid w:val="00B56031"/>
    <w:pPr>
      <w:framePr w:hSpace="142" w:wrap="auto" w:vAnchor="text" w:hAnchor="text" w:xAlign="center" w:y="1"/>
      <w:widowControl w:val="0"/>
      <w:overflowPunct/>
      <w:autoSpaceDE/>
      <w:autoSpaceDN/>
      <w:adjustRightInd/>
      <w:jc w:val="center"/>
      <w:textAlignment w:val="auto"/>
    </w:pPr>
    <w:rPr>
      <w:rFonts w:ascii="Arial" w:hAnsi="Arial"/>
      <w:b/>
      <w:snapToGrid w:val="0"/>
      <w:sz w:val="22"/>
    </w:rPr>
  </w:style>
  <w:style w:type="paragraph" w:customStyle="1" w:styleId="centre">
    <w:name w:val="centre"/>
    <w:basedOn w:val="Normal"/>
    <w:rsid w:val="00C75AB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557740919">
      <w:bodyDiv w:val="1"/>
      <w:marLeft w:val="0"/>
      <w:marRight w:val="0"/>
      <w:marTop w:val="0"/>
      <w:marBottom w:val="0"/>
      <w:divBdr>
        <w:top w:val="none" w:sz="0" w:space="0" w:color="auto"/>
        <w:left w:val="none" w:sz="0" w:space="0" w:color="auto"/>
        <w:bottom w:val="none" w:sz="0" w:space="0" w:color="auto"/>
        <w:right w:val="none" w:sz="0" w:space="0" w:color="auto"/>
      </w:divBdr>
    </w:div>
    <w:div w:id="1162238783">
      <w:bodyDiv w:val="1"/>
      <w:marLeft w:val="0"/>
      <w:marRight w:val="0"/>
      <w:marTop w:val="0"/>
      <w:marBottom w:val="0"/>
      <w:divBdr>
        <w:top w:val="none" w:sz="0" w:space="0" w:color="auto"/>
        <w:left w:val="none" w:sz="0" w:space="0" w:color="auto"/>
        <w:bottom w:val="none" w:sz="0" w:space="0" w:color="auto"/>
        <w:right w:val="none" w:sz="0" w:space="0" w:color="auto"/>
      </w:divBdr>
    </w:div>
    <w:div w:id="1740470589">
      <w:bodyDiv w:val="1"/>
      <w:marLeft w:val="0"/>
      <w:marRight w:val="0"/>
      <w:marTop w:val="0"/>
      <w:marBottom w:val="0"/>
      <w:divBdr>
        <w:top w:val="none" w:sz="0" w:space="0" w:color="auto"/>
        <w:left w:val="none" w:sz="0" w:space="0" w:color="auto"/>
        <w:bottom w:val="none" w:sz="0" w:space="0" w:color="auto"/>
        <w:right w:val="none" w:sz="0" w:space="0" w:color="auto"/>
      </w:divBdr>
    </w:div>
    <w:div w:id="1849979840">
      <w:bodyDiv w:val="1"/>
      <w:marLeft w:val="0"/>
      <w:marRight w:val="0"/>
      <w:marTop w:val="0"/>
      <w:marBottom w:val="0"/>
      <w:divBdr>
        <w:top w:val="none" w:sz="0" w:space="0" w:color="auto"/>
        <w:left w:val="none" w:sz="0" w:space="0" w:color="auto"/>
        <w:bottom w:val="none" w:sz="0" w:space="0" w:color="auto"/>
        <w:right w:val="none" w:sz="0" w:space="0" w:color="auto"/>
      </w:divBdr>
    </w:div>
    <w:div w:id="20188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public.fr/Marches-publics/Textes/Arretes/Arrete_2009_01_19_ccag-fcs-ECEM0816423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tendance.bourdelle@ac-toulouse.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1DDCA-0D3B-4850-B821-F47BF434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Pages>
  <Words>2639</Words>
  <Characters>14515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COMMISSION DE COORDINATION DES COMMANDES PUBLIQUES</vt:lpstr>
    </vt:vector>
  </TitlesOfParts>
  <Company>.</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DE COORDINATION DES COMMANDES PUBLIQUES</dc:title>
  <dc:subject/>
  <dc:creator>HP Customer</dc:creator>
  <cp:keywords/>
  <dc:description/>
  <cp:lastModifiedBy>compta6</cp:lastModifiedBy>
  <cp:revision>73</cp:revision>
  <cp:lastPrinted>2018-01-10T14:18:00Z</cp:lastPrinted>
  <dcterms:created xsi:type="dcterms:W3CDTF">2012-03-14T16:12:00Z</dcterms:created>
  <dcterms:modified xsi:type="dcterms:W3CDTF">2018-01-12T09:58:00Z</dcterms:modified>
</cp:coreProperties>
</file>